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CC73D">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snapToGrid/>
          <w:kern w:val="2"/>
          <w:sz w:val="32"/>
          <w:szCs w:val="32"/>
          <w:lang w:val="en-US" w:eastAsia="zh-CN"/>
        </w:rPr>
      </w:pPr>
      <w:r>
        <w:rPr>
          <w:rFonts w:hint="eastAsia" w:ascii="黑体" w:hAnsi="黑体" w:eastAsia="黑体" w:cs="黑体"/>
          <w:snapToGrid/>
          <w:kern w:val="2"/>
          <w:sz w:val="32"/>
          <w:szCs w:val="32"/>
          <w:lang w:eastAsia="zh-CN"/>
        </w:rPr>
        <w:t>附件</w:t>
      </w:r>
      <w:r>
        <w:rPr>
          <w:rFonts w:hint="eastAsia" w:ascii="黑体" w:hAnsi="黑体" w:eastAsia="黑体" w:cs="黑体"/>
          <w:snapToGrid/>
          <w:kern w:val="2"/>
          <w:sz w:val="32"/>
          <w:szCs w:val="32"/>
          <w:lang w:val="en-US" w:eastAsia="zh-CN"/>
        </w:rPr>
        <w:t>1</w:t>
      </w:r>
    </w:p>
    <w:p w14:paraId="6EF6CA6E">
      <w:pPr>
        <w:spacing w:before="139" w:line="223" w:lineRule="auto"/>
        <w:jc w:val="center"/>
        <w:outlineLvl w:val="1"/>
        <w:rPr>
          <w:rFonts w:hint="eastAsia" w:ascii="方正小标宋简体" w:hAnsi="黑体" w:eastAsia="方正小标宋简体" w:cs="宋体"/>
          <w:snapToGrid/>
          <w:kern w:val="2"/>
          <w:sz w:val="36"/>
          <w:szCs w:val="36"/>
          <w:lang w:eastAsia="zh-CN"/>
        </w:rPr>
      </w:pPr>
      <w:r>
        <w:rPr>
          <w:rFonts w:hint="eastAsia" w:ascii="方正小标宋简体" w:hAnsi="黑体" w:eastAsia="方正小标宋简体" w:cs="宋体"/>
          <w:snapToGrid/>
          <w:kern w:val="2"/>
          <w:sz w:val="36"/>
          <w:szCs w:val="36"/>
          <w:lang w:eastAsia="zh-CN"/>
        </w:rPr>
        <w:t>西安市新城区证明事项告知承诺制清单（第三批）调整汇总表</w:t>
      </w:r>
    </w:p>
    <w:p w14:paraId="5279A64C">
      <w:pPr>
        <w:spacing w:line="109" w:lineRule="exact"/>
        <w:rPr>
          <w:lang w:eastAsia="zh-CN"/>
        </w:rPr>
      </w:pPr>
    </w:p>
    <w:tbl>
      <w:tblPr>
        <w:tblStyle w:val="5"/>
        <w:tblW w:w="13892" w:type="dxa"/>
        <w:tblInd w:w="-8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9"/>
        <w:gridCol w:w="993"/>
        <w:gridCol w:w="1701"/>
        <w:gridCol w:w="7229"/>
        <w:gridCol w:w="709"/>
        <w:gridCol w:w="2551"/>
      </w:tblGrid>
      <w:tr w14:paraId="3AD4E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709" w:type="dxa"/>
            <w:tcBorders>
              <w:top w:val="single" w:color="000000" w:sz="10" w:space="0"/>
              <w:left w:val="single" w:color="000000" w:sz="10" w:space="0"/>
            </w:tcBorders>
            <w:noWrap w:val="0"/>
            <w:vAlign w:val="top"/>
          </w:tcPr>
          <w:p w14:paraId="7DD9B635">
            <w:pPr>
              <w:spacing w:before="246" w:line="231" w:lineRule="auto"/>
              <w:jc w:val="center"/>
              <w:rPr>
                <w:rFonts w:hint="eastAsia" w:ascii="黑体" w:hAnsi="黑体" w:eastAsia="黑体" w:cs="黑体"/>
                <w:spacing w:val="5"/>
                <w:sz w:val="24"/>
                <w:szCs w:val="24"/>
              </w:rPr>
            </w:pPr>
            <w:r>
              <w:rPr>
                <w:rFonts w:hint="eastAsia" w:ascii="黑体" w:hAnsi="黑体" w:eastAsia="黑体" w:cs="黑体"/>
                <w:spacing w:val="5"/>
                <w:sz w:val="24"/>
                <w:szCs w:val="24"/>
              </w:rPr>
              <w:t>序号</w:t>
            </w:r>
          </w:p>
        </w:tc>
        <w:tc>
          <w:tcPr>
            <w:tcW w:w="993" w:type="dxa"/>
            <w:tcBorders>
              <w:top w:val="single" w:color="000000" w:sz="10" w:space="0"/>
            </w:tcBorders>
            <w:noWrap w:val="0"/>
            <w:vAlign w:val="top"/>
          </w:tcPr>
          <w:p w14:paraId="5FA66904">
            <w:pPr>
              <w:spacing w:before="246" w:line="231" w:lineRule="auto"/>
              <w:jc w:val="center"/>
              <w:rPr>
                <w:rFonts w:hint="eastAsia" w:ascii="黑体" w:hAnsi="黑体" w:eastAsia="黑体" w:cs="黑体"/>
                <w:spacing w:val="5"/>
                <w:sz w:val="24"/>
                <w:szCs w:val="24"/>
              </w:rPr>
            </w:pPr>
            <w:r>
              <w:rPr>
                <w:rFonts w:hint="eastAsia" w:ascii="黑体" w:hAnsi="黑体" w:eastAsia="黑体" w:cs="黑体"/>
                <w:spacing w:val="5"/>
                <w:sz w:val="24"/>
                <w:szCs w:val="24"/>
              </w:rPr>
              <w:t>政务事项名称</w:t>
            </w:r>
          </w:p>
        </w:tc>
        <w:tc>
          <w:tcPr>
            <w:tcW w:w="1701" w:type="dxa"/>
            <w:tcBorders>
              <w:top w:val="single" w:color="000000" w:sz="10" w:space="0"/>
            </w:tcBorders>
            <w:noWrap w:val="0"/>
            <w:vAlign w:val="top"/>
          </w:tcPr>
          <w:p w14:paraId="3BFDF390">
            <w:pPr>
              <w:spacing w:before="246" w:line="231" w:lineRule="auto"/>
              <w:jc w:val="center"/>
              <w:rPr>
                <w:rFonts w:hint="eastAsia" w:ascii="黑体" w:hAnsi="黑体" w:eastAsia="黑体" w:cs="黑体"/>
                <w:spacing w:val="5"/>
                <w:sz w:val="24"/>
                <w:szCs w:val="24"/>
                <w:lang w:eastAsia="zh-CN"/>
              </w:rPr>
            </w:pPr>
            <w:r>
              <w:rPr>
                <w:rFonts w:hint="eastAsia" w:ascii="黑体" w:hAnsi="黑体" w:eastAsia="黑体" w:cs="黑体"/>
                <w:spacing w:val="5"/>
                <w:sz w:val="24"/>
                <w:szCs w:val="24"/>
                <w:lang w:eastAsia="zh-CN"/>
              </w:rPr>
              <w:t>实行告知承诺制的证明事项</w:t>
            </w:r>
          </w:p>
        </w:tc>
        <w:tc>
          <w:tcPr>
            <w:tcW w:w="7229" w:type="dxa"/>
            <w:tcBorders>
              <w:top w:val="single" w:color="000000" w:sz="10" w:space="0"/>
            </w:tcBorders>
            <w:noWrap w:val="0"/>
            <w:vAlign w:val="top"/>
          </w:tcPr>
          <w:p w14:paraId="153375F6">
            <w:pPr>
              <w:spacing w:before="246" w:line="231" w:lineRule="auto"/>
              <w:jc w:val="center"/>
              <w:rPr>
                <w:rFonts w:hint="eastAsia" w:ascii="黑体" w:hAnsi="黑体" w:eastAsia="黑体" w:cs="黑体"/>
                <w:spacing w:val="5"/>
                <w:sz w:val="24"/>
                <w:szCs w:val="24"/>
              </w:rPr>
            </w:pPr>
            <w:r>
              <w:rPr>
                <w:rFonts w:hint="eastAsia" w:ascii="黑体" w:hAnsi="黑体" w:eastAsia="黑体" w:cs="黑体"/>
                <w:spacing w:val="5"/>
                <w:sz w:val="24"/>
                <w:szCs w:val="24"/>
              </w:rPr>
              <w:t>证明事项设定依据</w:t>
            </w:r>
          </w:p>
        </w:tc>
        <w:tc>
          <w:tcPr>
            <w:tcW w:w="709" w:type="dxa"/>
            <w:tcBorders>
              <w:top w:val="single" w:color="000000" w:sz="10" w:space="0"/>
            </w:tcBorders>
            <w:noWrap w:val="0"/>
            <w:vAlign w:val="top"/>
          </w:tcPr>
          <w:p w14:paraId="5F65EE4C">
            <w:pPr>
              <w:spacing w:before="246" w:line="231" w:lineRule="auto"/>
              <w:jc w:val="center"/>
              <w:rPr>
                <w:rFonts w:hint="eastAsia" w:ascii="黑体" w:hAnsi="黑体" w:eastAsia="黑体" w:cs="黑体"/>
                <w:spacing w:val="5"/>
                <w:sz w:val="24"/>
                <w:szCs w:val="24"/>
              </w:rPr>
            </w:pPr>
            <w:r>
              <w:rPr>
                <w:rFonts w:hint="eastAsia" w:ascii="黑体" w:hAnsi="黑体" w:eastAsia="黑体" w:cs="黑体"/>
                <w:spacing w:val="5"/>
                <w:sz w:val="24"/>
                <w:szCs w:val="24"/>
              </w:rPr>
              <w:t>调整类型</w:t>
            </w:r>
          </w:p>
        </w:tc>
        <w:tc>
          <w:tcPr>
            <w:tcW w:w="2551" w:type="dxa"/>
            <w:tcBorders>
              <w:top w:val="single" w:color="000000" w:sz="10" w:space="0"/>
            </w:tcBorders>
            <w:noWrap w:val="0"/>
            <w:vAlign w:val="top"/>
          </w:tcPr>
          <w:p w14:paraId="40F05209">
            <w:pPr>
              <w:spacing w:before="246" w:line="231" w:lineRule="auto"/>
              <w:jc w:val="center"/>
              <w:rPr>
                <w:rFonts w:hint="eastAsia" w:ascii="黑体" w:hAnsi="黑体" w:eastAsia="黑体" w:cs="黑体"/>
                <w:spacing w:val="5"/>
                <w:sz w:val="24"/>
                <w:szCs w:val="24"/>
              </w:rPr>
            </w:pPr>
            <w:r>
              <w:rPr>
                <w:rFonts w:hint="eastAsia" w:ascii="黑体" w:hAnsi="黑体" w:eastAsia="黑体" w:cs="黑体"/>
                <w:spacing w:val="5"/>
                <w:sz w:val="24"/>
                <w:szCs w:val="24"/>
              </w:rPr>
              <w:t>调整理由</w:t>
            </w:r>
          </w:p>
        </w:tc>
      </w:tr>
      <w:tr w14:paraId="5DC8C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709" w:type="dxa"/>
            <w:tcBorders>
              <w:top w:val="single" w:color="000000" w:sz="10" w:space="0"/>
              <w:left w:val="single" w:color="000000" w:sz="10" w:space="0"/>
            </w:tcBorders>
            <w:noWrap w:val="0"/>
            <w:vAlign w:val="top"/>
          </w:tcPr>
          <w:p w14:paraId="6C1C4298">
            <w:pPr>
              <w:spacing w:before="246" w:line="231" w:lineRule="auto"/>
              <w:jc w:val="center"/>
              <w:rPr>
                <w:rFonts w:hint="eastAsia" w:ascii="黑体" w:hAnsi="黑体" w:eastAsia="黑体" w:cs="黑体"/>
                <w:spacing w:val="5"/>
                <w:sz w:val="24"/>
                <w:szCs w:val="24"/>
                <w:lang w:val="en-US" w:eastAsia="zh-CN"/>
              </w:rPr>
            </w:pPr>
            <w:r>
              <w:rPr>
                <w:rFonts w:hint="eastAsia" w:ascii="黑体" w:hAnsi="黑体" w:eastAsia="黑体" w:cs="黑体"/>
                <w:spacing w:val="5"/>
                <w:sz w:val="24"/>
                <w:szCs w:val="24"/>
                <w:lang w:val="en-US" w:eastAsia="zh-CN"/>
              </w:rPr>
              <w:t>1</w:t>
            </w:r>
          </w:p>
        </w:tc>
        <w:tc>
          <w:tcPr>
            <w:tcW w:w="993" w:type="dxa"/>
            <w:tcBorders>
              <w:top w:val="single" w:color="000000" w:sz="10" w:space="0"/>
            </w:tcBorders>
            <w:noWrap w:val="0"/>
            <w:vAlign w:val="top"/>
          </w:tcPr>
          <w:p w14:paraId="2FE2607E">
            <w:pPr>
              <w:spacing w:before="246" w:line="231" w:lineRule="auto"/>
              <w:jc w:val="left"/>
              <w:rPr>
                <w:rFonts w:hint="eastAsia" w:ascii="Times New Roman" w:hAnsi="Times New Roman" w:eastAsia="仿宋_GB2312" w:cs="Times New Roman"/>
                <w:color w:val="auto"/>
                <w:sz w:val="21"/>
                <w:szCs w:val="21"/>
                <w:highlight w:val="none"/>
              </w:rPr>
            </w:pPr>
            <w:r>
              <w:rPr>
                <w:rFonts w:hint="eastAsia" w:ascii="Times New Roman" w:hAnsi="Times New Roman" w:eastAsia="仿宋_GB2312" w:cs="Times New Roman"/>
                <w:color w:val="auto"/>
                <w:sz w:val="21"/>
                <w:szCs w:val="21"/>
                <w:highlight w:val="none"/>
                <w:lang w:val="en-US" w:eastAsia="zh-CN"/>
              </w:rPr>
              <w:t>社会团体法人成立登记、</w:t>
            </w:r>
            <w:r>
              <w:rPr>
                <w:rFonts w:hint="eastAsia" w:ascii="Times New Roman" w:hAnsi="Times New Roman" w:eastAsia="仿宋_GB2312" w:cs="Times New Roman"/>
                <w:color w:val="auto"/>
                <w:sz w:val="21"/>
                <w:szCs w:val="21"/>
                <w:highlight w:val="none"/>
              </w:rPr>
              <w:t>社会团体住所变更登记</w:t>
            </w:r>
          </w:p>
          <w:p w14:paraId="72E4AB4A">
            <w:pPr>
              <w:spacing w:before="246" w:line="231" w:lineRule="auto"/>
              <w:jc w:val="left"/>
              <w:rPr>
                <w:rFonts w:hint="eastAsia" w:ascii="Times New Roman" w:hAnsi="Times New Roman" w:eastAsia="仿宋_GB2312" w:cs="Times New Roman"/>
                <w:color w:val="auto"/>
                <w:sz w:val="21"/>
                <w:szCs w:val="21"/>
                <w:highlight w:val="none"/>
              </w:rPr>
            </w:pPr>
          </w:p>
        </w:tc>
        <w:tc>
          <w:tcPr>
            <w:tcW w:w="1701" w:type="dxa"/>
            <w:tcBorders>
              <w:top w:val="single" w:color="000000" w:sz="10" w:space="0"/>
            </w:tcBorders>
            <w:noWrap w:val="0"/>
            <w:vAlign w:val="top"/>
          </w:tcPr>
          <w:p w14:paraId="471FF1DF">
            <w:pPr>
              <w:spacing w:before="246" w:line="231" w:lineRule="auto"/>
              <w:jc w:val="left"/>
              <w:rPr>
                <w:rFonts w:hint="eastAsia" w:ascii="黑体" w:hAnsi="黑体" w:eastAsia="黑体" w:cs="黑体"/>
                <w:color w:val="auto"/>
                <w:spacing w:val="5"/>
                <w:sz w:val="24"/>
                <w:szCs w:val="24"/>
                <w:lang w:eastAsia="zh-CN"/>
              </w:rPr>
            </w:pPr>
            <w:r>
              <w:rPr>
                <w:rFonts w:hint="default" w:ascii="Times New Roman" w:hAnsi="Times New Roman" w:eastAsia="仿宋_GB2312" w:cs="Times New Roman"/>
                <w:color w:val="auto"/>
                <w:sz w:val="21"/>
                <w:szCs w:val="21"/>
                <w:highlight w:val="none"/>
              </w:rPr>
              <w:t>场所使用权证明</w:t>
            </w:r>
          </w:p>
        </w:tc>
        <w:tc>
          <w:tcPr>
            <w:tcW w:w="7229" w:type="dxa"/>
            <w:tcBorders>
              <w:top w:val="single" w:color="000000" w:sz="10" w:space="0"/>
            </w:tcBorders>
            <w:noWrap w:val="0"/>
            <w:vAlign w:val="top"/>
          </w:tcPr>
          <w:p w14:paraId="3C0CE80D">
            <w:pPr>
              <w:spacing w:before="246" w:line="231" w:lineRule="auto"/>
              <w:jc w:val="left"/>
              <w:rPr>
                <w:rFonts w:hint="eastAsia" w:ascii="黑体" w:hAnsi="黑体" w:eastAsia="黑体" w:cs="黑体"/>
                <w:color w:val="auto"/>
                <w:spacing w:val="5"/>
                <w:sz w:val="24"/>
                <w:szCs w:val="24"/>
              </w:rPr>
            </w:pPr>
            <w:r>
              <w:rPr>
                <w:rFonts w:hint="default" w:ascii="Times New Roman" w:hAnsi="Times New Roman" w:eastAsia="仿宋_GB2312" w:cs="Times New Roman"/>
                <w:color w:val="auto"/>
                <w:sz w:val="21"/>
                <w:szCs w:val="21"/>
              </w:rPr>
              <w:t>国务院令第666号《国务院关于修改部分行政法规的决定》《社会团体登记管理条例》第十一条 申请登记社会团体，发起人应当向登记管理机关提交下列文件：（三）验资报告、场所使用权证明；第十二条 社会团体登记事项包括：名称、住所、宗旨、业务范围、活动地域、法定代表人、活动资金和业务主管单位。第十八条 社会团体的登记事项需要变更的，应当自业务主管单位审查同意之日起30日内，向登记管理机关申请变更登记。</w:t>
            </w:r>
          </w:p>
        </w:tc>
        <w:tc>
          <w:tcPr>
            <w:tcW w:w="709" w:type="dxa"/>
            <w:tcBorders>
              <w:top w:val="single" w:color="000000" w:sz="10" w:space="0"/>
            </w:tcBorders>
            <w:noWrap w:val="0"/>
            <w:vAlign w:val="top"/>
          </w:tcPr>
          <w:p w14:paraId="0FB49C0F">
            <w:pPr>
              <w:spacing w:before="246" w:line="231" w:lineRule="auto"/>
              <w:jc w:val="center"/>
              <w:rPr>
                <w:rFonts w:hint="eastAsia" w:ascii="仿宋_GB2312" w:hAnsi="仿宋_GB2312" w:eastAsia="仿宋_GB2312" w:cs="仿宋_GB2312"/>
                <w:color w:val="auto"/>
                <w:spacing w:val="5"/>
                <w:sz w:val="21"/>
                <w:szCs w:val="21"/>
                <w:highlight w:val="yellow"/>
              </w:rPr>
            </w:pPr>
            <w:r>
              <w:rPr>
                <w:rFonts w:hint="eastAsia" w:ascii="仿宋_GB2312" w:eastAsia="仿宋_GB2312"/>
                <w:color w:val="auto"/>
                <w:lang w:eastAsia="zh-CN"/>
              </w:rPr>
              <w:t>取消</w:t>
            </w:r>
          </w:p>
        </w:tc>
        <w:tc>
          <w:tcPr>
            <w:tcW w:w="2551" w:type="dxa"/>
            <w:tcBorders>
              <w:top w:val="single" w:color="000000" w:sz="10" w:space="0"/>
            </w:tcBorders>
            <w:noWrap w:val="0"/>
            <w:vAlign w:val="top"/>
          </w:tcPr>
          <w:p w14:paraId="21EE3ECE">
            <w:pPr>
              <w:spacing w:before="246" w:line="231" w:lineRule="auto"/>
              <w:jc w:val="center"/>
              <w:rPr>
                <w:rFonts w:hint="eastAsia" w:ascii="黑体" w:hAnsi="黑体" w:eastAsia="黑体" w:cs="黑体"/>
                <w:color w:val="auto"/>
                <w:spacing w:val="5"/>
                <w:sz w:val="24"/>
                <w:szCs w:val="24"/>
              </w:rPr>
            </w:pPr>
            <w:r>
              <w:rPr>
                <w:rFonts w:hint="eastAsia" w:ascii="仿宋_GB2312" w:hAnsi="仿宋_GB2312" w:eastAsia="仿宋_GB2312" w:cs="仿宋_GB2312"/>
                <w:color w:val="auto"/>
                <w:lang w:val="en-US" w:eastAsia="zh-CN"/>
              </w:rPr>
              <w:t>此材料为必要件，且为踏勘时需重点查看内容</w:t>
            </w:r>
          </w:p>
        </w:tc>
      </w:tr>
      <w:tr w14:paraId="286FF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709" w:type="dxa"/>
            <w:tcBorders>
              <w:top w:val="single" w:color="000000" w:sz="10" w:space="0"/>
              <w:left w:val="single" w:color="000000" w:sz="10" w:space="0"/>
            </w:tcBorders>
            <w:noWrap w:val="0"/>
            <w:vAlign w:val="top"/>
          </w:tcPr>
          <w:p w14:paraId="1C7461A5">
            <w:pPr>
              <w:spacing w:before="246" w:line="231" w:lineRule="auto"/>
              <w:jc w:val="center"/>
              <w:rPr>
                <w:rFonts w:hint="eastAsia" w:ascii="黑体" w:hAnsi="黑体" w:eastAsia="黑体" w:cs="黑体"/>
                <w:spacing w:val="5"/>
                <w:sz w:val="24"/>
                <w:szCs w:val="24"/>
                <w:lang w:val="en-US" w:eastAsia="zh-CN"/>
              </w:rPr>
            </w:pPr>
            <w:r>
              <w:rPr>
                <w:rFonts w:hint="eastAsia" w:ascii="黑体" w:hAnsi="黑体" w:eastAsia="黑体" w:cs="黑体"/>
                <w:spacing w:val="5"/>
                <w:sz w:val="24"/>
                <w:szCs w:val="24"/>
                <w:lang w:val="en-US" w:eastAsia="zh-CN"/>
              </w:rPr>
              <w:t>2</w:t>
            </w:r>
          </w:p>
        </w:tc>
        <w:tc>
          <w:tcPr>
            <w:tcW w:w="993" w:type="dxa"/>
            <w:tcBorders>
              <w:top w:val="single" w:color="000000" w:sz="10" w:space="0"/>
            </w:tcBorders>
            <w:noWrap w:val="0"/>
            <w:vAlign w:val="top"/>
          </w:tcPr>
          <w:p w14:paraId="425354A8">
            <w:pPr>
              <w:spacing w:before="246" w:line="231" w:lineRule="auto"/>
              <w:jc w:val="left"/>
              <w:rPr>
                <w:rFonts w:hint="eastAsia" w:ascii="Times New Roman" w:hAnsi="Times New Roman" w:eastAsia="仿宋_GB2312" w:cs="Times New Roman"/>
                <w:color w:val="auto"/>
                <w:sz w:val="21"/>
                <w:szCs w:val="21"/>
                <w:highlight w:val="none"/>
              </w:rPr>
            </w:pPr>
            <w:r>
              <w:rPr>
                <w:rFonts w:hint="eastAsia" w:ascii="Times New Roman" w:hAnsi="Times New Roman" w:eastAsia="仿宋_GB2312" w:cs="Times New Roman"/>
                <w:color w:val="auto"/>
                <w:sz w:val="21"/>
                <w:szCs w:val="21"/>
                <w:highlight w:val="none"/>
                <w:lang w:val="en-US" w:eastAsia="zh-CN"/>
              </w:rPr>
              <w:t>民办非企业单位成立登记、民办非企业单位住所变更登记</w:t>
            </w:r>
          </w:p>
        </w:tc>
        <w:tc>
          <w:tcPr>
            <w:tcW w:w="1701" w:type="dxa"/>
            <w:tcBorders>
              <w:top w:val="single" w:color="000000" w:sz="10" w:space="0"/>
            </w:tcBorders>
            <w:noWrap w:val="0"/>
            <w:vAlign w:val="top"/>
          </w:tcPr>
          <w:p w14:paraId="3E78F063">
            <w:pPr>
              <w:spacing w:before="246" w:line="231" w:lineRule="auto"/>
              <w:jc w:val="left"/>
              <w:rPr>
                <w:rFonts w:hint="eastAsia" w:ascii="黑体" w:hAnsi="黑体" w:eastAsia="黑体" w:cs="黑体"/>
                <w:color w:val="auto"/>
                <w:spacing w:val="5"/>
                <w:sz w:val="24"/>
                <w:szCs w:val="24"/>
                <w:lang w:eastAsia="zh-CN"/>
              </w:rPr>
            </w:pPr>
            <w:r>
              <w:rPr>
                <w:rFonts w:hint="default" w:ascii="Times New Roman" w:hAnsi="Times New Roman" w:eastAsia="仿宋_GB2312" w:cs="Times New Roman"/>
                <w:color w:val="auto"/>
                <w:sz w:val="21"/>
                <w:szCs w:val="21"/>
                <w:highlight w:val="none"/>
              </w:rPr>
              <w:t>场所使用权证明</w:t>
            </w:r>
          </w:p>
        </w:tc>
        <w:tc>
          <w:tcPr>
            <w:tcW w:w="7229" w:type="dxa"/>
            <w:tcBorders>
              <w:top w:val="single" w:color="000000" w:sz="10" w:space="0"/>
            </w:tcBorders>
            <w:noWrap w:val="0"/>
            <w:vAlign w:val="top"/>
          </w:tcPr>
          <w:p w14:paraId="371232F4">
            <w:pPr>
              <w:spacing w:before="246" w:line="231" w:lineRule="auto"/>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《民办非企业单位登记管理暂行条例》第九条 申请民办非企业单位登记，举办者应当向登记管理机关提交下列文件：（一）登记申请书；（二）业务主管单位的批准文件；（三）场所使用权证明；（四）验资报告；（五）拟任负责人的基本情况、身份证明； （六）章程草案。 第十二条 准予登记的民办非企业单位，由登记管理机关登记民办非企业单位的名称、住所、宗旨和业务范围、法定代表人或者负责人、开办资金、业务主管单位，并根据其依法承担民事责任的不同方式，分别发给《民办非企业单位（法人）登记证书</w:t>
            </w:r>
            <w:r>
              <w:rPr>
                <w:rFonts w:hint="eastAsia"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民办非企业单位（合伙）登记证书</w:t>
            </w:r>
            <w:r>
              <w:rPr>
                <w:rFonts w:hint="eastAsia"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民办非企业单位（个体）登记证书》。第十五条 民办非企业单位的登记事项需要变更的，应当自业务主管单位审查同意之日起30日内，向登记管理机关申请变更登记。</w:t>
            </w:r>
          </w:p>
          <w:p w14:paraId="4D6335EF">
            <w:pPr>
              <w:pStyle w:val="6"/>
              <w:jc w:val="left"/>
              <w:rPr>
                <w:rFonts w:hint="eastAsia" w:ascii="Times New Roman" w:hAnsi="Times New Roman" w:eastAsia="仿宋_GB2312" w:cs="Times New Roman"/>
                <w:snapToGrid w:val="0"/>
                <w:color w:val="auto"/>
                <w:sz w:val="21"/>
                <w:szCs w:val="21"/>
                <w:lang w:val="en-US" w:eastAsia="zh-CN" w:bidi="ar-SA"/>
              </w:rPr>
            </w:pPr>
            <w:r>
              <w:rPr>
                <w:rFonts w:hint="eastAsia" w:ascii="Times New Roman" w:hAnsi="Times New Roman" w:eastAsia="仿宋_GB2312" w:cs="Times New Roman"/>
                <w:snapToGrid w:val="0"/>
                <w:color w:val="auto"/>
                <w:sz w:val="21"/>
                <w:szCs w:val="21"/>
                <w:lang w:val="en-US" w:eastAsia="en-US" w:bidi="ar-SA"/>
              </w:rPr>
              <w:t>民办非企业单位登记暂行办法第六条</w:t>
            </w:r>
            <w:r>
              <w:rPr>
                <w:rFonts w:hint="eastAsia" w:ascii="Times New Roman" w:hAnsi="Times New Roman" w:eastAsia="仿宋_GB2312" w:cs="Times New Roman"/>
                <w:snapToGrid w:val="0"/>
                <w:color w:val="auto"/>
                <w:sz w:val="21"/>
                <w:szCs w:val="21"/>
                <w:lang w:val="en-US" w:eastAsia="zh-CN" w:bidi="ar-SA"/>
              </w:rPr>
              <w:t>，</w:t>
            </w:r>
            <w:r>
              <w:rPr>
                <w:rFonts w:hint="eastAsia" w:ascii="Times New Roman" w:hAnsi="Times New Roman" w:eastAsia="仿宋_GB2312" w:cs="Times New Roman"/>
                <w:snapToGrid w:val="0"/>
                <w:color w:val="auto"/>
                <w:sz w:val="21"/>
                <w:szCs w:val="21"/>
                <w:lang w:val="en-US" w:eastAsia="en-US" w:bidi="ar-SA"/>
              </w:rPr>
              <w:t>申请民办非企业单位成立登记，举办者应当提交条例第九条规定的文件</w:t>
            </w:r>
            <w:r>
              <w:rPr>
                <w:rFonts w:hint="eastAsia" w:ascii="Times New Roman" w:hAnsi="Times New Roman" w:eastAsia="仿宋_GB2312" w:cs="Times New Roman"/>
                <w:snapToGrid w:val="0"/>
                <w:color w:val="auto"/>
                <w:sz w:val="21"/>
                <w:szCs w:val="21"/>
                <w:lang w:val="en-US" w:eastAsia="zh-CN" w:bidi="ar-SA"/>
              </w:rPr>
              <w:t>：</w:t>
            </w:r>
          </w:p>
          <w:p w14:paraId="2360DF17">
            <w:pPr>
              <w:pStyle w:val="6"/>
              <w:jc w:val="left"/>
              <w:rPr>
                <w:rFonts w:hint="eastAsia" w:ascii="Times New Roman" w:hAnsi="Times New Roman" w:eastAsia="仿宋_GB2312" w:cs="Times New Roman"/>
                <w:snapToGrid w:val="0"/>
                <w:color w:val="auto"/>
                <w:sz w:val="21"/>
                <w:szCs w:val="21"/>
                <w:lang w:val="en-US" w:eastAsia="en-US" w:bidi="ar-SA"/>
              </w:rPr>
            </w:pPr>
            <w:r>
              <w:rPr>
                <w:rFonts w:hint="eastAsia" w:ascii="Times New Roman" w:hAnsi="Times New Roman" w:eastAsia="仿宋_GB2312" w:cs="Times New Roman"/>
                <w:snapToGrid w:val="0"/>
                <w:color w:val="auto"/>
                <w:sz w:val="21"/>
                <w:szCs w:val="21"/>
                <w:lang w:val="en-US" w:eastAsia="en-US" w:bidi="ar-SA"/>
              </w:rPr>
              <w:t>民办非企业单位的登记申请书应当包括：举办者单位名称或申请人姓名；拟任法定代表人或单位负责人的基本情况；住所情况；开办资金情况；申请登记理由等。</w:t>
            </w:r>
          </w:p>
          <w:p w14:paraId="51E3B250">
            <w:pPr>
              <w:pStyle w:val="6"/>
              <w:jc w:val="left"/>
              <w:rPr>
                <w:rFonts w:hint="eastAsia" w:ascii="Times New Roman" w:hAnsi="Times New Roman" w:eastAsia="仿宋_GB2312" w:cs="Times New Roman"/>
                <w:snapToGrid w:val="0"/>
                <w:color w:val="auto"/>
                <w:sz w:val="21"/>
                <w:szCs w:val="21"/>
                <w:lang w:val="en-US" w:eastAsia="en-US" w:bidi="ar-SA"/>
              </w:rPr>
            </w:pPr>
            <w:r>
              <w:rPr>
                <w:rFonts w:hint="eastAsia" w:ascii="Times New Roman" w:hAnsi="Times New Roman" w:eastAsia="仿宋_GB2312" w:cs="Times New Roman"/>
                <w:snapToGrid w:val="0"/>
                <w:color w:val="auto"/>
                <w:sz w:val="21"/>
                <w:szCs w:val="21"/>
                <w:lang w:val="en-US" w:eastAsia="en-US" w:bidi="ar-SA"/>
              </w:rPr>
              <w:t>业务主管单位的批准文件，应当包括对举办者章程草案、资金情况（特别是资产的非国有性）、拟任法定代表人或单位负责人基本情况、从业人员资格、场所设备、组织机构等内容的审查结论。</w:t>
            </w:r>
          </w:p>
          <w:p w14:paraId="132469AB">
            <w:pPr>
              <w:pStyle w:val="6"/>
              <w:jc w:val="left"/>
              <w:rPr>
                <w:rFonts w:hint="eastAsia" w:ascii="Times New Roman" w:hAnsi="Times New Roman" w:eastAsia="仿宋_GB2312" w:cs="Times New Roman"/>
                <w:snapToGrid w:val="0"/>
                <w:color w:val="auto"/>
                <w:sz w:val="21"/>
                <w:szCs w:val="21"/>
                <w:lang w:val="en-US" w:eastAsia="en-US" w:bidi="ar-SA"/>
              </w:rPr>
            </w:pPr>
            <w:r>
              <w:rPr>
                <w:rFonts w:hint="eastAsia" w:ascii="Times New Roman" w:hAnsi="Times New Roman" w:eastAsia="仿宋_GB2312" w:cs="Times New Roman"/>
                <w:snapToGrid w:val="0"/>
                <w:color w:val="auto"/>
                <w:sz w:val="21"/>
                <w:szCs w:val="21"/>
                <w:lang w:val="en-US" w:eastAsia="en-US" w:bidi="ar-SA"/>
              </w:rPr>
              <w:t>民办非企业单位的活动场所须有产权证明或一年期以上的使用权证明。</w:t>
            </w:r>
          </w:p>
          <w:p w14:paraId="55D5666E">
            <w:pPr>
              <w:pStyle w:val="6"/>
              <w:jc w:val="left"/>
              <w:rPr>
                <w:rFonts w:hint="eastAsia" w:ascii="Times New Roman" w:hAnsi="Times New Roman" w:eastAsia="仿宋_GB2312" w:cs="Times New Roman"/>
                <w:snapToGrid w:val="0"/>
                <w:color w:val="auto"/>
                <w:sz w:val="21"/>
                <w:szCs w:val="21"/>
                <w:lang w:val="en-US" w:eastAsia="en-US" w:bidi="ar-SA"/>
              </w:rPr>
            </w:pPr>
            <w:r>
              <w:rPr>
                <w:rFonts w:hint="eastAsia" w:ascii="Times New Roman" w:hAnsi="Times New Roman" w:eastAsia="仿宋_GB2312" w:cs="Times New Roman"/>
                <w:snapToGrid w:val="0"/>
                <w:color w:val="auto"/>
                <w:sz w:val="21"/>
                <w:szCs w:val="21"/>
                <w:lang w:val="en-US" w:eastAsia="en-US" w:bidi="ar-SA"/>
              </w:rPr>
              <w:t>民办非企业单位的验资报告应由会计师事务所或其他有验资资格的机构出具。</w:t>
            </w:r>
          </w:p>
          <w:p w14:paraId="532E4E98">
            <w:pPr>
              <w:pStyle w:val="6"/>
              <w:jc w:val="left"/>
              <w:rPr>
                <w:rFonts w:hint="eastAsia" w:ascii="Times New Roman" w:hAnsi="Times New Roman" w:eastAsia="仿宋_GB2312" w:cs="Times New Roman"/>
                <w:snapToGrid w:val="0"/>
                <w:color w:val="auto"/>
                <w:sz w:val="21"/>
                <w:szCs w:val="21"/>
                <w:lang w:val="en-US" w:eastAsia="en-US" w:bidi="ar-SA"/>
              </w:rPr>
            </w:pPr>
            <w:r>
              <w:rPr>
                <w:rFonts w:hint="eastAsia" w:ascii="Times New Roman" w:hAnsi="Times New Roman" w:eastAsia="仿宋_GB2312" w:cs="Times New Roman"/>
                <w:snapToGrid w:val="0"/>
                <w:color w:val="auto"/>
                <w:sz w:val="21"/>
                <w:szCs w:val="21"/>
                <w:lang w:val="en-US" w:eastAsia="en-US" w:bidi="ar-SA"/>
              </w:rPr>
              <w:t>拟任法定代表人或单位负责人的基本情况应当包括姓名、性别、民族、年龄、目前人事关系所在单位、有否受到剥夺政治权利的刑事处罚、个人简历等。拟任法定代表人或单位负责人的身份证明为身份证的复印件，登记管理机关认为必要时可验证身份证原件。</w:t>
            </w:r>
          </w:p>
          <w:p w14:paraId="00190503">
            <w:pPr>
              <w:pStyle w:val="6"/>
              <w:jc w:val="left"/>
              <w:rPr>
                <w:rFonts w:hint="eastAsia" w:ascii="Times New Roman" w:hAnsi="Times New Roman" w:eastAsia="仿宋_GB2312" w:cs="Times New Roman"/>
                <w:snapToGrid w:val="0"/>
                <w:color w:val="auto"/>
                <w:sz w:val="21"/>
                <w:szCs w:val="21"/>
                <w:lang w:val="en-US" w:eastAsia="en-US" w:bidi="ar-SA"/>
              </w:rPr>
            </w:pPr>
            <w:r>
              <w:rPr>
                <w:rFonts w:hint="eastAsia" w:ascii="Times New Roman" w:hAnsi="Times New Roman" w:eastAsia="仿宋_GB2312" w:cs="Times New Roman"/>
                <w:snapToGrid w:val="0"/>
                <w:color w:val="auto"/>
                <w:sz w:val="21"/>
                <w:szCs w:val="21"/>
                <w:lang w:val="en-US" w:eastAsia="en-US" w:bidi="ar-SA"/>
              </w:rPr>
              <w:t>对合伙制的民办非企业单位，拟任单位负责人指所有合伙人。</w:t>
            </w:r>
          </w:p>
          <w:p w14:paraId="23A3E72B">
            <w:pPr>
              <w:pStyle w:val="6"/>
              <w:jc w:val="left"/>
              <w:rPr>
                <w:rFonts w:hint="eastAsia" w:ascii="Times New Roman" w:hAnsi="Times New Roman" w:eastAsia="仿宋_GB2312" w:cs="Times New Roman"/>
                <w:color w:val="auto"/>
                <w:sz w:val="21"/>
                <w:szCs w:val="21"/>
              </w:rPr>
            </w:pPr>
            <w:r>
              <w:rPr>
                <w:rFonts w:hint="eastAsia" w:ascii="Times New Roman" w:hAnsi="Times New Roman" w:eastAsia="仿宋_GB2312" w:cs="Times New Roman"/>
                <w:snapToGrid w:val="0"/>
                <w:color w:val="auto"/>
                <w:sz w:val="21"/>
                <w:szCs w:val="21"/>
                <w:lang w:val="en-US" w:eastAsia="en-US" w:bidi="ar-SA"/>
              </w:rPr>
              <w:t>民办非企业单位的章程草案应当符合条例第十条的规定。合伙制的民办非企业单位的章程可为其合伙协议，合伙协议应当包括条例第十条</w:t>
            </w:r>
            <w:r>
              <w:rPr>
                <w:rFonts w:hint="eastAsia" w:ascii="Times New Roman" w:hAnsi="Times New Roman" w:eastAsia="仿宋_GB2312" w:cs="Times New Roman"/>
                <w:snapToGrid w:val="0"/>
                <w:color w:val="auto"/>
                <w:sz w:val="21"/>
                <w:szCs w:val="21"/>
                <w:lang w:val="en-US" w:eastAsia="zh-CN" w:bidi="ar-SA"/>
              </w:rPr>
              <w:t>第一，</w:t>
            </w:r>
            <w:r>
              <w:rPr>
                <w:rFonts w:hint="eastAsia" w:ascii="Times New Roman" w:hAnsi="Times New Roman" w:eastAsia="仿宋_GB2312" w:cs="Times New Roman"/>
                <w:snapToGrid w:val="0"/>
                <w:color w:val="auto"/>
                <w:sz w:val="21"/>
                <w:szCs w:val="21"/>
                <w:lang w:val="en-US" w:eastAsia="en-US" w:bidi="ar-SA"/>
              </w:rPr>
              <w:t>二、三、五、六、七、八项的内容。民办非企业单位须在其章程草案或合伙协议中载明该单位的盈利不得分配，解体时财产不得私分。</w:t>
            </w:r>
          </w:p>
        </w:tc>
        <w:tc>
          <w:tcPr>
            <w:tcW w:w="709" w:type="dxa"/>
            <w:tcBorders>
              <w:top w:val="single" w:color="000000" w:sz="10" w:space="0"/>
            </w:tcBorders>
            <w:noWrap w:val="0"/>
            <w:vAlign w:val="top"/>
          </w:tcPr>
          <w:p w14:paraId="2998C8B9">
            <w:pPr>
              <w:spacing w:before="246" w:line="231" w:lineRule="auto"/>
              <w:jc w:val="center"/>
              <w:rPr>
                <w:rFonts w:hint="eastAsia" w:ascii="仿宋_GB2312" w:hAnsi="仿宋_GB2312" w:eastAsia="仿宋_GB2312" w:cs="仿宋_GB2312"/>
                <w:color w:val="auto"/>
                <w:spacing w:val="5"/>
                <w:sz w:val="21"/>
                <w:szCs w:val="21"/>
                <w:highlight w:val="yellow"/>
                <w:lang w:eastAsia="zh-CN"/>
              </w:rPr>
            </w:pPr>
            <w:r>
              <w:rPr>
                <w:rFonts w:hint="eastAsia" w:ascii="仿宋_GB2312" w:eastAsia="仿宋_GB2312"/>
                <w:color w:val="auto"/>
                <w:lang w:eastAsia="zh-CN"/>
              </w:rPr>
              <w:t>取消</w:t>
            </w:r>
          </w:p>
        </w:tc>
        <w:tc>
          <w:tcPr>
            <w:tcW w:w="2551" w:type="dxa"/>
            <w:tcBorders>
              <w:top w:val="single" w:color="000000" w:sz="10" w:space="0"/>
            </w:tcBorders>
            <w:noWrap w:val="0"/>
            <w:vAlign w:val="top"/>
          </w:tcPr>
          <w:p w14:paraId="712E2E73">
            <w:pPr>
              <w:spacing w:before="246" w:line="231" w:lineRule="auto"/>
              <w:jc w:val="center"/>
              <w:rPr>
                <w:rFonts w:hint="eastAsia" w:ascii="黑体" w:hAnsi="黑体" w:eastAsia="黑体" w:cs="黑体"/>
                <w:color w:val="auto"/>
                <w:spacing w:val="5"/>
                <w:sz w:val="24"/>
                <w:szCs w:val="24"/>
              </w:rPr>
            </w:pPr>
            <w:r>
              <w:rPr>
                <w:rFonts w:hint="eastAsia" w:ascii="仿宋_GB2312" w:hAnsi="仿宋_GB2312" w:eastAsia="仿宋_GB2312" w:cs="仿宋_GB2312"/>
                <w:color w:val="auto"/>
                <w:lang w:val="en-US" w:eastAsia="zh-CN"/>
              </w:rPr>
              <w:t>此材料为必要件，且为踏勘时需重点查看内容</w:t>
            </w:r>
          </w:p>
        </w:tc>
      </w:tr>
      <w:tr w14:paraId="22B14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709" w:type="dxa"/>
            <w:tcBorders>
              <w:left w:val="single" w:color="000000" w:sz="10" w:space="0"/>
            </w:tcBorders>
            <w:noWrap w:val="0"/>
            <w:vAlign w:val="center"/>
          </w:tcPr>
          <w:p w14:paraId="67F4A2E7">
            <w:pPr>
              <w:pStyle w:val="2"/>
              <w:spacing w:beforeAutospacing="0" w:afterAutospacing="0"/>
              <w:jc w:val="center"/>
              <w:rPr>
                <w:rFonts w:hint="eastAsia" w:eastAsia="宋体"/>
                <w:color w:val="auto"/>
                <w:lang w:eastAsia="zh-CN"/>
              </w:rPr>
            </w:pPr>
            <w:r>
              <w:rPr>
                <w:rFonts w:hint="eastAsia" w:ascii="Times New Roman" w:hAnsi="Times New Roman" w:eastAsia="仿宋_GB2312"/>
                <w:color w:val="auto"/>
                <w:sz w:val="21"/>
                <w:lang w:val="en-US" w:eastAsia="zh-CN"/>
              </w:rPr>
              <w:t>3</w:t>
            </w:r>
          </w:p>
        </w:tc>
        <w:tc>
          <w:tcPr>
            <w:tcW w:w="993" w:type="dxa"/>
            <w:noWrap w:val="0"/>
            <w:vAlign w:val="center"/>
          </w:tcPr>
          <w:p w14:paraId="0709670C">
            <w:pPr>
              <w:pStyle w:val="2"/>
              <w:spacing w:beforeAutospacing="0" w:afterAutospacing="0"/>
              <w:jc w:val="center"/>
              <w:rPr>
                <w:color w:val="auto"/>
              </w:rPr>
            </w:pPr>
            <w:r>
              <w:rPr>
                <w:rFonts w:hint="eastAsia" w:ascii="Times New Roman" w:hAnsi="Times New Roman" w:eastAsia="仿宋_GB2312"/>
                <w:color w:val="auto"/>
                <w:sz w:val="21"/>
                <w:lang w:bidi="ar"/>
              </w:rPr>
              <w:t>食品经营许可</w:t>
            </w:r>
          </w:p>
        </w:tc>
        <w:tc>
          <w:tcPr>
            <w:tcW w:w="1701" w:type="dxa"/>
            <w:noWrap w:val="0"/>
            <w:vAlign w:val="center"/>
          </w:tcPr>
          <w:p w14:paraId="2A947473">
            <w:pPr>
              <w:pStyle w:val="2"/>
              <w:spacing w:beforeAutospacing="0" w:afterAutospacing="0"/>
              <w:jc w:val="center"/>
              <w:rPr>
                <w:color w:val="auto"/>
              </w:rPr>
            </w:pPr>
            <w:r>
              <w:rPr>
                <w:rFonts w:ascii="Times New Roman" w:hAnsi="Times New Roman" w:eastAsia="仿宋_GB2312"/>
                <w:color w:val="auto"/>
                <w:sz w:val="21"/>
                <w:lang w:bidi="ar"/>
              </w:rPr>
              <w:t>食品经营许可证登报遗失公开声明证明材料或毁损的食品经营许可证</w:t>
            </w:r>
          </w:p>
        </w:tc>
        <w:tc>
          <w:tcPr>
            <w:tcW w:w="7229" w:type="dxa"/>
            <w:noWrap w:val="0"/>
            <w:vAlign w:val="center"/>
          </w:tcPr>
          <w:p w14:paraId="0FAE521D">
            <w:pPr>
              <w:pStyle w:val="2"/>
              <w:spacing w:beforeAutospacing="0" w:afterAutospacing="0"/>
              <w:jc w:val="left"/>
              <w:rPr>
                <w:color w:val="auto"/>
              </w:rPr>
            </w:pPr>
            <w:r>
              <w:rPr>
                <w:rFonts w:ascii="Times New Roman" w:hAnsi="Times New Roman" w:eastAsia="仿宋_GB2312"/>
                <w:color w:val="auto"/>
                <w:sz w:val="21"/>
                <w:lang w:bidi="ar"/>
              </w:rPr>
              <w:t>《中华人民共和国食品安全法》 第三十五条：国家对食品生产经营实行许可制度。从事食品生产、食品销售、餐饮服务，应当依法取得许可。但是，销售食用农产品，不需要取得许可。 《中华人民共和国行政许可法》第十六条  规章可以在上位法设定的行政许可事项范围内，对实施该行政许可作出具体规定。 《食品经营许可管理办法》第三十五条：食品经营许可证遗失、损坏的，应当向原发证的食品药品监督管理部门申请补办，并提交下列材料：</w:t>
            </w:r>
            <w:r>
              <w:rPr>
                <w:rFonts w:hint="eastAsia" w:ascii="Times New Roman" w:hAnsi="Times New Roman" w:eastAsia="仿宋_GB2312"/>
                <w:color w:val="auto"/>
                <w:sz w:val="21"/>
                <w:lang w:eastAsia="zh-CN" w:bidi="ar"/>
              </w:rPr>
              <w:t>（</w:t>
            </w:r>
            <w:r>
              <w:rPr>
                <w:rFonts w:ascii="Times New Roman" w:hAnsi="Times New Roman" w:eastAsia="仿宋_GB2312"/>
                <w:color w:val="auto"/>
                <w:sz w:val="21"/>
                <w:lang w:bidi="ar"/>
              </w:rPr>
              <w:t>二</w:t>
            </w:r>
            <w:r>
              <w:rPr>
                <w:rFonts w:hint="eastAsia" w:ascii="Times New Roman" w:hAnsi="Times New Roman" w:eastAsia="仿宋_GB2312"/>
                <w:color w:val="auto"/>
                <w:sz w:val="21"/>
                <w:lang w:eastAsia="zh-CN" w:bidi="ar"/>
              </w:rPr>
              <w:t>）</w:t>
            </w:r>
            <w:r>
              <w:rPr>
                <w:rFonts w:ascii="Times New Roman" w:hAnsi="Times New Roman" w:eastAsia="仿宋_GB2312"/>
                <w:color w:val="auto"/>
                <w:sz w:val="21"/>
                <w:lang w:bidi="ar"/>
              </w:rPr>
              <w:t>食品经营许可证遗失的，申请人应当提交在县级以上地方食品药品监督管理部门网站或者其他县级以上主要媒体上刊登遗失公告的材料</w:t>
            </w:r>
            <w:r>
              <w:rPr>
                <w:rFonts w:hint="eastAsia" w:ascii="Times New Roman" w:hAnsi="Times New Roman" w:eastAsia="仿宋_GB2312"/>
                <w:color w:val="auto"/>
                <w:sz w:val="21"/>
                <w:lang w:eastAsia="zh-CN" w:bidi="ar"/>
              </w:rPr>
              <w:t>；</w:t>
            </w:r>
            <w:r>
              <w:rPr>
                <w:rFonts w:ascii="Times New Roman" w:hAnsi="Times New Roman" w:eastAsia="仿宋_GB2312"/>
                <w:color w:val="auto"/>
                <w:sz w:val="21"/>
                <w:lang w:bidi="ar"/>
              </w:rPr>
              <w:t>食品经营许可证损坏的，应当提交损坏的食品经营许可证原件。</w:t>
            </w:r>
          </w:p>
        </w:tc>
        <w:tc>
          <w:tcPr>
            <w:tcW w:w="709" w:type="dxa"/>
            <w:noWrap w:val="0"/>
            <w:vAlign w:val="center"/>
          </w:tcPr>
          <w:p w14:paraId="18E01BA1">
            <w:pPr>
              <w:pStyle w:val="6"/>
              <w:jc w:val="center"/>
              <w:rPr>
                <w:rFonts w:hint="eastAsia" w:ascii="仿宋_GB2312" w:eastAsia="仿宋_GB2312"/>
                <w:color w:val="auto"/>
                <w:lang w:eastAsia="zh-CN"/>
              </w:rPr>
            </w:pPr>
            <w:r>
              <w:rPr>
                <w:rFonts w:hint="eastAsia" w:ascii="仿宋_GB2312" w:eastAsia="仿宋_GB2312"/>
                <w:color w:val="auto"/>
                <w:lang w:eastAsia="zh-CN"/>
              </w:rPr>
              <w:t>取消</w:t>
            </w:r>
          </w:p>
        </w:tc>
        <w:tc>
          <w:tcPr>
            <w:tcW w:w="2551" w:type="dxa"/>
            <w:noWrap w:val="0"/>
            <w:vAlign w:val="center"/>
          </w:tcPr>
          <w:p w14:paraId="3E481A6D">
            <w:pPr>
              <w:pStyle w:val="6"/>
              <w:jc w:val="left"/>
              <w:rPr>
                <w:rFonts w:hint="eastAsia" w:ascii="仿宋_GB2312" w:eastAsia="仿宋_GB2312"/>
                <w:color w:val="auto"/>
                <w:lang w:eastAsia="zh-CN"/>
              </w:rPr>
            </w:pPr>
            <w:r>
              <w:rPr>
                <w:rFonts w:hint="eastAsia" w:ascii="仿宋_GB2312" w:eastAsia="仿宋_GB2312"/>
                <w:color w:val="auto"/>
                <w:lang w:eastAsia="zh-CN"/>
              </w:rPr>
              <w:t>2023年6月国家市场监督管理总局令第78号公布《食品经营许可和备案管理办法》，2023年12月1日起施行，对此证明事项无相关要求。</w:t>
            </w:r>
          </w:p>
          <w:p w14:paraId="4CB86261">
            <w:pPr>
              <w:pStyle w:val="6"/>
              <w:jc w:val="left"/>
              <w:rPr>
                <w:rFonts w:hint="eastAsia" w:ascii="仿宋_GB2312" w:eastAsia="仿宋_GB2312"/>
                <w:color w:val="auto"/>
                <w:lang w:eastAsia="zh-CN"/>
              </w:rPr>
            </w:pPr>
            <w:r>
              <w:rPr>
                <w:rFonts w:hint="eastAsia" w:ascii="仿宋_GB2312" w:eastAsia="仿宋_GB2312"/>
                <w:color w:val="auto"/>
                <w:lang w:eastAsia="zh-CN"/>
              </w:rPr>
              <w:t>同时，原国家食品药品监督管理总局令第17号公布的《食品经营许可管理办法》废止。</w:t>
            </w:r>
          </w:p>
        </w:tc>
      </w:tr>
      <w:tr w14:paraId="013E4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709" w:type="dxa"/>
            <w:tcBorders>
              <w:left w:val="single" w:color="000000" w:sz="10" w:space="0"/>
            </w:tcBorders>
            <w:noWrap w:val="0"/>
            <w:vAlign w:val="center"/>
          </w:tcPr>
          <w:p w14:paraId="37A63A5C">
            <w:pPr>
              <w:pStyle w:val="2"/>
              <w:spacing w:beforeAutospacing="0" w:afterAutospacing="0"/>
              <w:jc w:val="center"/>
              <w:rPr>
                <w:rFonts w:hint="eastAsia" w:ascii="Times New Roman" w:hAnsi="Times New Roman" w:eastAsia="仿宋_GB2312"/>
                <w:color w:val="auto"/>
                <w:sz w:val="21"/>
                <w:lang w:eastAsia="zh-CN"/>
              </w:rPr>
            </w:pPr>
            <w:r>
              <w:rPr>
                <w:rFonts w:hint="eastAsia" w:ascii="Times New Roman" w:hAnsi="Times New Roman" w:eastAsia="仿宋_GB2312"/>
                <w:color w:val="auto"/>
                <w:sz w:val="21"/>
                <w:lang w:val="en-US" w:eastAsia="zh-CN"/>
              </w:rPr>
              <w:t>4</w:t>
            </w:r>
          </w:p>
        </w:tc>
        <w:tc>
          <w:tcPr>
            <w:tcW w:w="993" w:type="dxa"/>
            <w:noWrap w:val="0"/>
            <w:vAlign w:val="center"/>
          </w:tcPr>
          <w:p w14:paraId="4A2FC850">
            <w:pPr>
              <w:pStyle w:val="2"/>
              <w:spacing w:beforeAutospacing="0" w:afterAutospacing="0"/>
              <w:jc w:val="center"/>
              <w:rPr>
                <w:rFonts w:ascii="Times New Roman" w:hAnsi="Times New Roman" w:eastAsia="仿宋_GB2312"/>
                <w:color w:val="auto"/>
                <w:sz w:val="21"/>
              </w:rPr>
            </w:pPr>
            <w:r>
              <w:rPr>
                <w:rFonts w:hint="eastAsia" w:ascii="Times New Roman" w:hAnsi="Times New Roman" w:eastAsia="仿宋_GB2312"/>
                <w:color w:val="auto"/>
                <w:sz w:val="21"/>
                <w:lang w:bidi="ar"/>
              </w:rPr>
              <w:t>药品零售企业许可</w:t>
            </w:r>
          </w:p>
        </w:tc>
        <w:tc>
          <w:tcPr>
            <w:tcW w:w="1701" w:type="dxa"/>
            <w:noWrap w:val="0"/>
            <w:vAlign w:val="center"/>
          </w:tcPr>
          <w:p w14:paraId="0DC58F27">
            <w:pPr>
              <w:pStyle w:val="2"/>
              <w:spacing w:beforeAutospacing="0" w:afterAutospacing="0"/>
              <w:jc w:val="center"/>
              <w:rPr>
                <w:rFonts w:ascii="Times New Roman" w:hAnsi="Times New Roman" w:eastAsia="仿宋_GB2312"/>
                <w:color w:val="auto"/>
                <w:sz w:val="21"/>
              </w:rPr>
            </w:pPr>
            <w:r>
              <w:rPr>
                <w:rFonts w:ascii="Times New Roman" w:hAnsi="Times New Roman" w:eastAsia="仿宋_GB2312"/>
                <w:color w:val="auto"/>
                <w:sz w:val="21"/>
                <w:lang w:bidi="ar"/>
              </w:rPr>
              <w:t>无未结案件证明</w:t>
            </w:r>
          </w:p>
        </w:tc>
        <w:tc>
          <w:tcPr>
            <w:tcW w:w="7229" w:type="dxa"/>
            <w:noWrap w:val="0"/>
            <w:vAlign w:val="center"/>
          </w:tcPr>
          <w:p w14:paraId="71E12181">
            <w:pPr>
              <w:pStyle w:val="2"/>
              <w:spacing w:beforeAutospacing="0" w:afterAutospacing="0"/>
              <w:jc w:val="left"/>
              <w:rPr>
                <w:rFonts w:ascii="Times New Roman" w:hAnsi="Times New Roman" w:eastAsia="仿宋_GB2312"/>
                <w:color w:val="auto"/>
                <w:sz w:val="21"/>
              </w:rPr>
            </w:pPr>
            <w:r>
              <w:rPr>
                <w:rFonts w:ascii="Times New Roman" w:hAnsi="Times New Roman" w:eastAsia="仿宋_GB2312"/>
                <w:color w:val="auto"/>
                <w:sz w:val="21"/>
                <w:lang w:bidi="ar"/>
              </w:rPr>
              <w:t>《中华人民共和国药品管理法》  第五十一条 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 《中华人民共和国行政许可法》第十六条  规章可以在上位法设定的行政许可事项范围内，对实施该行政许可作出具体规定。《药品经营许可证管理办法》 第十六条 企业因违法经营已被食品药品监督管理部门立案调查，尚未结案的</w:t>
            </w:r>
            <w:r>
              <w:rPr>
                <w:rFonts w:hint="eastAsia" w:ascii="Times New Roman" w:hAnsi="Times New Roman" w:eastAsia="仿宋_GB2312"/>
                <w:color w:val="auto"/>
                <w:sz w:val="21"/>
                <w:lang w:eastAsia="zh-CN" w:bidi="ar"/>
              </w:rPr>
              <w:t>；</w:t>
            </w:r>
            <w:r>
              <w:rPr>
                <w:rFonts w:ascii="Times New Roman" w:hAnsi="Times New Roman" w:eastAsia="仿宋_GB2312"/>
                <w:color w:val="auto"/>
                <w:sz w:val="21"/>
                <w:lang w:bidi="ar"/>
              </w:rPr>
              <w:t>或已经作出行政处罚决定，尚未履行处罚的，发证机关应暂停受理其《药品经营许可证》的变更申请。</w:t>
            </w:r>
          </w:p>
        </w:tc>
        <w:tc>
          <w:tcPr>
            <w:tcW w:w="709" w:type="dxa"/>
            <w:noWrap w:val="0"/>
            <w:vAlign w:val="center"/>
          </w:tcPr>
          <w:p w14:paraId="36F8CE7A">
            <w:pPr>
              <w:pStyle w:val="6"/>
              <w:jc w:val="center"/>
              <w:rPr>
                <w:rFonts w:hint="eastAsia" w:ascii="仿宋_GB2312" w:eastAsia="仿宋_GB2312"/>
                <w:color w:val="auto"/>
                <w:lang w:eastAsia="zh-CN"/>
              </w:rPr>
            </w:pPr>
            <w:r>
              <w:rPr>
                <w:rFonts w:hint="eastAsia" w:ascii="仿宋_GB2312" w:eastAsia="仿宋_GB2312"/>
                <w:color w:val="auto"/>
                <w:lang w:eastAsia="zh-CN"/>
              </w:rPr>
              <w:t>取消</w:t>
            </w:r>
          </w:p>
        </w:tc>
        <w:tc>
          <w:tcPr>
            <w:tcW w:w="2551" w:type="dxa"/>
            <w:noWrap w:val="0"/>
            <w:vAlign w:val="center"/>
          </w:tcPr>
          <w:p w14:paraId="7AA66600">
            <w:pPr>
              <w:pStyle w:val="6"/>
              <w:jc w:val="left"/>
              <w:rPr>
                <w:rFonts w:hint="eastAsia" w:ascii="仿宋_GB2312" w:hAnsi="Times New Roman" w:eastAsia="仿宋_GB2312" w:cs="Times New Roman"/>
                <w:color w:val="auto"/>
                <w:shd w:val="clear" w:color="auto" w:fill="FFFFFF"/>
                <w:lang w:eastAsia="zh-CN" w:bidi="ar"/>
              </w:rPr>
            </w:pPr>
            <w:r>
              <w:rPr>
                <w:rFonts w:hint="eastAsia" w:ascii="仿宋_GB2312" w:hAnsi="Times New Roman" w:eastAsia="仿宋_GB2312" w:cs="Times New Roman"/>
                <w:color w:val="auto"/>
                <w:shd w:val="clear" w:color="auto" w:fill="FFFFFF"/>
                <w:lang w:eastAsia="zh-CN" w:bidi="ar"/>
              </w:rPr>
              <w:t>2023年9月，国家市场监督管理总局发布《药品经营和使用质量监督管理办法》（国家市场监督管理总局令第84号），自2024年1月1日起实施。对此证明事项无相关要求。</w:t>
            </w:r>
          </w:p>
          <w:p w14:paraId="2C9B12BF">
            <w:pPr>
              <w:pStyle w:val="6"/>
              <w:ind w:firstLine="420" w:firstLineChars="200"/>
              <w:jc w:val="left"/>
              <w:rPr>
                <w:rFonts w:hint="eastAsia" w:ascii="仿宋_GB2312" w:eastAsia="仿宋_GB2312"/>
                <w:color w:val="auto"/>
                <w:lang w:eastAsia="zh-CN"/>
              </w:rPr>
            </w:pPr>
            <w:r>
              <w:rPr>
                <w:rFonts w:hint="eastAsia" w:ascii="仿宋_GB2312" w:hAnsi="Times New Roman" w:eastAsia="仿宋_GB2312" w:cs="Times New Roman"/>
                <w:color w:val="auto"/>
                <w:shd w:val="clear" w:color="auto" w:fill="FFFFFF"/>
                <w:lang w:eastAsia="zh-CN" w:bidi="ar"/>
              </w:rPr>
              <w:t>同时原《药品经营许可证管理办法》废止</w:t>
            </w:r>
            <w:r>
              <w:rPr>
                <w:rFonts w:hint="eastAsia" w:ascii="仿宋_GB2312" w:eastAsia="仿宋_GB2312"/>
                <w:color w:val="auto"/>
                <w:lang w:eastAsia="zh-CN"/>
              </w:rPr>
              <w:t>。</w:t>
            </w:r>
          </w:p>
        </w:tc>
      </w:tr>
      <w:tr w14:paraId="49499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709" w:type="dxa"/>
            <w:tcBorders>
              <w:left w:val="single" w:color="000000" w:sz="10" w:space="0"/>
            </w:tcBorders>
            <w:noWrap w:val="0"/>
            <w:vAlign w:val="center"/>
          </w:tcPr>
          <w:p w14:paraId="713C2CCC">
            <w:pPr>
              <w:pStyle w:val="6"/>
              <w:jc w:val="center"/>
              <w:rPr>
                <w:rFonts w:eastAsia="宋体"/>
                <w:color w:val="auto"/>
                <w:lang w:eastAsia="zh-CN"/>
              </w:rPr>
            </w:pPr>
            <w:r>
              <w:rPr>
                <w:rFonts w:hint="eastAsia" w:eastAsia="宋体"/>
                <w:color w:val="auto"/>
                <w:lang w:val="en-US" w:eastAsia="zh-CN"/>
              </w:rPr>
              <w:t>5</w:t>
            </w:r>
          </w:p>
        </w:tc>
        <w:tc>
          <w:tcPr>
            <w:tcW w:w="993" w:type="dxa"/>
            <w:noWrap w:val="0"/>
            <w:vAlign w:val="center"/>
          </w:tcPr>
          <w:p w14:paraId="16A30CD3">
            <w:pPr>
              <w:pStyle w:val="6"/>
              <w:jc w:val="center"/>
              <w:rPr>
                <w:color w:val="auto"/>
              </w:rPr>
            </w:pPr>
            <w:r>
              <w:rPr>
                <w:rFonts w:hint="eastAsia" w:ascii="Times New Roman" w:hAnsi="Times New Roman" w:eastAsia="仿宋_GB2312" w:cs="Times New Roman"/>
                <w:color w:val="auto"/>
                <w:lang w:eastAsia="zh-CN" w:bidi="ar"/>
              </w:rPr>
              <w:t>药品零售企业许可</w:t>
            </w:r>
          </w:p>
        </w:tc>
        <w:tc>
          <w:tcPr>
            <w:tcW w:w="1701" w:type="dxa"/>
            <w:noWrap w:val="0"/>
            <w:vAlign w:val="center"/>
          </w:tcPr>
          <w:p w14:paraId="5C6C9D23">
            <w:pPr>
              <w:pStyle w:val="2"/>
              <w:spacing w:beforeAutospacing="0" w:afterAutospacing="0"/>
              <w:jc w:val="center"/>
              <w:rPr>
                <w:color w:val="auto"/>
              </w:rPr>
            </w:pPr>
            <w:r>
              <w:rPr>
                <w:rFonts w:ascii="Times New Roman" w:hAnsi="Times New Roman" w:eastAsia="仿宋_GB2312"/>
                <w:color w:val="auto"/>
                <w:sz w:val="21"/>
                <w:lang w:bidi="ar"/>
              </w:rPr>
              <w:t>登载遗失声明                      备注：1：（发证机关所在地（县级以上）纸质媒体上刊登）。２：登载遗失声明之日起满一个月后提出申请</w:t>
            </w:r>
          </w:p>
        </w:tc>
        <w:tc>
          <w:tcPr>
            <w:tcW w:w="7229" w:type="dxa"/>
            <w:noWrap w:val="0"/>
            <w:vAlign w:val="center"/>
          </w:tcPr>
          <w:p w14:paraId="4F226A40">
            <w:pPr>
              <w:pStyle w:val="2"/>
              <w:spacing w:beforeAutospacing="0" w:afterAutospacing="0"/>
              <w:jc w:val="left"/>
              <w:rPr>
                <w:color w:val="auto"/>
              </w:rPr>
            </w:pPr>
            <w:r>
              <w:rPr>
                <w:rFonts w:ascii="Times New Roman" w:hAnsi="Times New Roman" w:eastAsia="仿宋_GB2312"/>
                <w:color w:val="auto"/>
                <w:sz w:val="21"/>
                <w:lang w:bidi="ar"/>
              </w:rPr>
              <w:t>《中华人民共和国药品管理法》  第五十一条 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中华人民共和国行政许可法》第十六条  规章可以在上位法设定的行政许可事项范围内，对实施该行政许可作出具体规定。 《药品经营许可证管理办法》第二十九条：企业遗失《药品经营许可证》，应立即向发证机关报告，并在发证机关指定的媒体上登载遗失声明。发证机关在企业登载遗失声明之日起满1个月后，按原核准事项补发《药品经营许可证》。</w:t>
            </w:r>
          </w:p>
        </w:tc>
        <w:tc>
          <w:tcPr>
            <w:tcW w:w="709" w:type="dxa"/>
            <w:noWrap w:val="0"/>
            <w:vAlign w:val="center"/>
          </w:tcPr>
          <w:p w14:paraId="46E67844">
            <w:pPr>
              <w:pStyle w:val="6"/>
              <w:jc w:val="center"/>
              <w:rPr>
                <w:rFonts w:hint="eastAsia" w:ascii="仿宋_GB2312" w:eastAsia="仿宋_GB2312"/>
                <w:color w:val="auto"/>
              </w:rPr>
            </w:pPr>
            <w:r>
              <w:rPr>
                <w:rFonts w:hint="eastAsia" w:ascii="仿宋_GB2312" w:eastAsia="仿宋_GB2312"/>
                <w:color w:val="auto"/>
                <w:lang w:eastAsia="zh-CN"/>
              </w:rPr>
              <w:t>取消</w:t>
            </w:r>
          </w:p>
        </w:tc>
        <w:tc>
          <w:tcPr>
            <w:tcW w:w="2551" w:type="dxa"/>
            <w:noWrap w:val="0"/>
            <w:vAlign w:val="center"/>
          </w:tcPr>
          <w:p w14:paraId="2F1CECD6">
            <w:pPr>
              <w:pStyle w:val="6"/>
              <w:jc w:val="left"/>
              <w:rPr>
                <w:rFonts w:hint="eastAsia" w:ascii="仿宋_GB2312" w:hAnsi="Times New Roman" w:eastAsia="仿宋_GB2312" w:cs="Times New Roman"/>
                <w:color w:val="auto"/>
                <w:shd w:val="clear" w:color="auto" w:fill="FFFFFF"/>
                <w:lang w:eastAsia="zh-CN" w:bidi="ar"/>
              </w:rPr>
            </w:pPr>
            <w:r>
              <w:rPr>
                <w:rFonts w:hint="eastAsia" w:ascii="仿宋_GB2312" w:hAnsi="Times New Roman" w:eastAsia="仿宋_GB2312" w:cs="Times New Roman"/>
                <w:color w:val="auto"/>
                <w:shd w:val="clear" w:color="auto" w:fill="FFFFFF"/>
                <w:lang w:eastAsia="zh-CN" w:bidi="ar"/>
              </w:rPr>
              <w:t>2023年9月，国家市场监督管理总局发布《药品经营和使用质量监督管理办法》（国家市场监督管理总局令第84号），自2024年1月1日起实施。对此证明事项无相关要求。</w:t>
            </w:r>
          </w:p>
          <w:p w14:paraId="542EC71E">
            <w:pPr>
              <w:pStyle w:val="6"/>
              <w:ind w:firstLine="420"/>
              <w:jc w:val="left"/>
              <w:rPr>
                <w:rFonts w:hint="eastAsia" w:ascii="仿宋_GB2312" w:eastAsia="仿宋_GB2312"/>
                <w:color w:val="auto"/>
                <w:lang w:eastAsia="zh-CN"/>
              </w:rPr>
            </w:pPr>
            <w:r>
              <w:rPr>
                <w:rFonts w:hint="eastAsia" w:ascii="仿宋_GB2312" w:hAnsi="Times New Roman" w:eastAsia="仿宋_GB2312" w:cs="Times New Roman"/>
                <w:color w:val="auto"/>
                <w:shd w:val="clear" w:color="auto" w:fill="FFFFFF"/>
                <w:lang w:eastAsia="zh-CN" w:bidi="ar"/>
              </w:rPr>
              <w:t>同时原《药品经营许可证管理办法》废止</w:t>
            </w:r>
            <w:r>
              <w:rPr>
                <w:rFonts w:hint="eastAsia" w:ascii="仿宋_GB2312" w:eastAsia="仿宋_GB2312"/>
                <w:color w:val="auto"/>
                <w:lang w:eastAsia="zh-CN"/>
              </w:rPr>
              <w:t>。</w:t>
            </w:r>
          </w:p>
        </w:tc>
      </w:tr>
      <w:tr w14:paraId="10CDB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709" w:type="dxa"/>
            <w:tcBorders>
              <w:left w:val="single" w:color="000000" w:sz="10" w:space="0"/>
            </w:tcBorders>
            <w:noWrap w:val="0"/>
            <w:vAlign w:val="center"/>
          </w:tcPr>
          <w:p w14:paraId="415A2956">
            <w:pPr>
              <w:pStyle w:val="6"/>
              <w:jc w:val="center"/>
              <w:rPr>
                <w:rFonts w:eastAsia="宋体"/>
                <w:color w:val="auto"/>
                <w:lang w:eastAsia="zh-CN"/>
              </w:rPr>
            </w:pPr>
            <w:r>
              <w:rPr>
                <w:rFonts w:hint="eastAsia" w:eastAsia="宋体"/>
                <w:color w:val="auto"/>
                <w:lang w:val="en-US" w:eastAsia="zh-CN"/>
              </w:rPr>
              <w:t>6</w:t>
            </w:r>
          </w:p>
        </w:tc>
        <w:tc>
          <w:tcPr>
            <w:tcW w:w="993" w:type="dxa"/>
            <w:noWrap w:val="0"/>
            <w:vAlign w:val="center"/>
          </w:tcPr>
          <w:p w14:paraId="1751656D">
            <w:pPr>
              <w:pStyle w:val="6"/>
              <w:jc w:val="center"/>
              <w:rPr>
                <w:rFonts w:ascii="Times New Roman" w:hAnsi="Times New Roman" w:eastAsia="仿宋_GB2312" w:cs="Times New Roman"/>
                <w:color w:val="auto"/>
                <w:lang w:eastAsia="zh-CN" w:bidi="ar"/>
              </w:rPr>
            </w:pPr>
            <w:r>
              <w:rPr>
                <w:rFonts w:hint="eastAsia" w:ascii="Times New Roman" w:hAnsi="Times New Roman" w:eastAsia="仿宋_GB2312" w:cs="Times New Roman"/>
                <w:color w:val="auto"/>
                <w:lang w:eastAsia="zh-CN" w:bidi="ar"/>
              </w:rPr>
              <w:t>医疗器械经营许可</w:t>
            </w:r>
          </w:p>
        </w:tc>
        <w:tc>
          <w:tcPr>
            <w:tcW w:w="1701" w:type="dxa"/>
            <w:noWrap w:val="0"/>
            <w:vAlign w:val="center"/>
          </w:tcPr>
          <w:p w14:paraId="06556135">
            <w:pPr>
              <w:pStyle w:val="2"/>
              <w:spacing w:beforeAutospacing="0" w:afterAutospacing="0"/>
              <w:jc w:val="center"/>
              <w:rPr>
                <w:rFonts w:ascii="Times New Roman" w:hAnsi="Times New Roman" w:eastAsia="仿宋_GB2312"/>
                <w:color w:val="auto"/>
                <w:sz w:val="21"/>
              </w:rPr>
            </w:pPr>
            <w:r>
              <w:rPr>
                <w:rFonts w:ascii="Times New Roman" w:hAnsi="Times New Roman" w:eastAsia="仿宋_GB2312"/>
                <w:color w:val="auto"/>
                <w:sz w:val="21"/>
                <w:lang w:bidi="ar"/>
              </w:rPr>
              <w:t>所在区县市场监督管理局出具的无违法经营行为的情况说明或企业自身出具的自我保证说明</w:t>
            </w:r>
          </w:p>
        </w:tc>
        <w:tc>
          <w:tcPr>
            <w:tcW w:w="7229" w:type="dxa"/>
            <w:noWrap w:val="0"/>
            <w:vAlign w:val="center"/>
          </w:tcPr>
          <w:p w14:paraId="12940D40">
            <w:pPr>
              <w:pStyle w:val="2"/>
              <w:spacing w:beforeAutospacing="0" w:afterAutospacing="0"/>
              <w:jc w:val="left"/>
              <w:rPr>
                <w:rFonts w:ascii="Times New Roman" w:hAnsi="Times New Roman" w:eastAsia="仿宋_GB2312"/>
                <w:color w:val="auto"/>
                <w:sz w:val="21"/>
              </w:rPr>
            </w:pPr>
            <w:r>
              <w:rPr>
                <w:rFonts w:ascii="Times New Roman" w:hAnsi="Times New Roman" w:eastAsia="仿宋_GB2312"/>
                <w:color w:val="auto"/>
                <w:sz w:val="21"/>
                <w:lang w:bidi="ar"/>
              </w:rPr>
              <w:t>《医疗器械监督管理条例》第四十条　从事医疗器械经营活动，应当有与经营规模和经营范围相适应的经营场所和贮存条件，以及与经营的医疗器械相适应的质量管理制度和质量管理机构或者人员。第四十二条　从事第三类医疗器械经营的，经营企业应当向所在地设区的市级人民政府负责药品监督管理的部门申请经营许可并提交符合本条例第四十条规定条件的有关资料。受理经营许可申请的负责药品监督管理的部门应当对申请资料进行审查，必要时组织核查，并自受理申请之日起20个工作日内作出决定。对符合规定条件的，准予许可并发给医疗器械经营许可证；对不符合规定条件的，不予许可并书面说明理由。医疗器械经营许可证有效期为5年。有效期届满需要延续的，依照有关行政许可的法律规定办理延续手续。《中华人民共和国行政许可法》第十六条  规章可以在上位法设定的行政许可事项范围内，对实施该行政许可作出具体规定。 《医疗器械经营监督管理办法》第一条 为加强医疗器械经营监督管理，规范医疗器械经营行为，保证医疗器械安全、有效，根据《医疗器械监督管理条例》，制定本办法。第二十六条：医疗器械经营企业因违法经营被食品药品监督管理部门立案调查但尚未结案的，或者收到行政处罚决定但尚未履行的，设区的市级食品药品监督管理部门应当中止许可，直至案件处理完毕。</w:t>
            </w:r>
          </w:p>
        </w:tc>
        <w:tc>
          <w:tcPr>
            <w:tcW w:w="709" w:type="dxa"/>
            <w:noWrap w:val="0"/>
            <w:vAlign w:val="center"/>
          </w:tcPr>
          <w:p w14:paraId="2F2A7CF4">
            <w:pPr>
              <w:pStyle w:val="6"/>
              <w:jc w:val="center"/>
              <w:rPr>
                <w:rFonts w:hint="eastAsia" w:ascii="仿宋_GB2312" w:eastAsia="仿宋_GB2312"/>
                <w:color w:val="auto"/>
                <w:lang w:eastAsia="zh-CN"/>
              </w:rPr>
            </w:pPr>
            <w:r>
              <w:rPr>
                <w:rFonts w:hint="eastAsia" w:ascii="仿宋_GB2312" w:eastAsia="仿宋_GB2312"/>
                <w:color w:val="auto"/>
                <w:lang w:eastAsia="zh-CN"/>
              </w:rPr>
              <w:t>取消</w:t>
            </w:r>
          </w:p>
        </w:tc>
        <w:tc>
          <w:tcPr>
            <w:tcW w:w="2551" w:type="dxa"/>
            <w:noWrap w:val="0"/>
            <w:vAlign w:val="center"/>
          </w:tcPr>
          <w:p w14:paraId="0BA17186">
            <w:pPr>
              <w:pStyle w:val="6"/>
              <w:jc w:val="left"/>
              <w:rPr>
                <w:rFonts w:hint="eastAsia" w:ascii="仿宋_GB2312" w:eastAsia="仿宋_GB2312"/>
                <w:color w:val="auto"/>
                <w:lang w:eastAsia="zh-CN"/>
              </w:rPr>
            </w:pPr>
            <w:r>
              <w:rPr>
                <w:rFonts w:hint="eastAsia" w:ascii="仿宋_GB2312" w:eastAsia="仿宋_GB2312"/>
                <w:color w:val="auto"/>
                <w:lang w:eastAsia="zh-CN"/>
              </w:rPr>
              <w:t>新的《医疗器械经营监督管理办法》（2022年3月10日国家市场监督管理总局令第54号公布，自2022年5月1日起施行）无相关要求。</w:t>
            </w:r>
          </w:p>
        </w:tc>
      </w:tr>
      <w:tr w14:paraId="21F40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709" w:type="dxa"/>
            <w:tcBorders>
              <w:left w:val="single" w:color="000000" w:sz="10" w:space="0"/>
            </w:tcBorders>
            <w:noWrap w:val="0"/>
            <w:vAlign w:val="center"/>
          </w:tcPr>
          <w:p w14:paraId="26C8B4F0">
            <w:pPr>
              <w:pStyle w:val="6"/>
              <w:jc w:val="center"/>
              <w:rPr>
                <w:rFonts w:eastAsia="宋体"/>
                <w:color w:val="auto"/>
                <w:lang w:eastAsia="zh-CN"/>
              </w:rPr>
            </w:pPr>
            <w:r>
              <w:rPr>
                <w:rFonts w:hint="eastAsia" w:eastAsia="宋体"/>
                <w:color w:val="auto"/>
                <w:lang w:val="en-US" w:eastAsia="zh-CN"/>
              </w:rPr>
              <w:t>7</w:t>
            </w:r>
          </w:p>
        </w:tc>
        <w:tc>
          <w:tcPr>
            <w:tcW w:w="993" w:type="dxa"/>
            <w:noWrap w:val="0"/>
            <w:vAlign w:val="center"/>
          </w:tcPr>
          <w:p w14:paraId="51D4D535">
            <w:pPr>
              <w:pStyle w:val="6"/>
              <w:jc w:val="center"/>
              <w:rPr>
                <w:rFonts w:ascii="Times New Roman" w:hAnsi="Times New Roman" w:eastAsia="仿宋_GB2312" w:cs="Times New Roman"/>
                <w:color w:val="auto"/>
                <w:lang w:eastAsia="zh-CN" w:bidi="ar"/>
              </w:rPr>
            </w:pPr>
            <w:r>
              <w:rPr>
                <w:rFonts w:hint="eastAsia" w:ascii="Times New Roman" w:hAnsi="Times New Roman" w:eastAsia="仿宋_GB2312" w:cs="Times New Roman"/>
                <w:color w:val="auto"/>
                <w:lang w:eastAsia="zh-CN" w:bidi="ar"/>
              </w:rPr>
              <w:t>医疗器械经营许可</w:t>
            </w:r>
          </w:p>
        </w:tc>
        <w:tc>
          <w:tcPr>
            <w:tcW w:w="1701" w:type="dxa"/>
            <w:noWrap w:val="0"/>
            <w:vAlign w:val="center"/>
          </w:tcPr>
          <w:p w14:paraId="21DB4F5E">
            <w:pPr>
              <w:pStyle w:val="2"/>
              <w:spacing w:beforeAutospacing="0" w:afterAutospacing="0"/>
              <w:jc w:val="center"/>
              <w:rPr>
                <w:rFonts w:ascii="Times New Roman" w:hAnsi="Times New Roman" w:eastAsia="仿宋_GB2312"/>
                <w:color w:val="auto"/>
                <w:sz w:val="21"/>
              </w:rPr>
            </w:pPr>
            <w:r>
              <w:rPr>
                <w:rFonts w:ascii="Times New Roman" w:hAnsi="Times New Roman" w:eastAsia="仿宋_GB2312"/>
                <w:color w:val="auto"/>
                <w:sz w:val="21"/>
                <w:lang w:bidi="ar"/>
              </w:rPr>
              <w:t>医疗器械经营许可证登报遗失公开声明</w:t>
            </w:r>
          </w:p>
        </w:tc>
        <w:tc>
          <w:tcPr>
            <w:tcW w:w="7229" w:type="dxa"/>
            <w:noWrap w:val="0"/>
            <w:vAlign w:val="center"/>
          </w:tcPr>
          <w:p w14:paraId="009E612D">
            <w:pPr>
              <w:pStyle w:val="2"/>
              <w:spacing w:beforeAutospacing="0" w:afterAutospacing="0"/>
              <w:jc w:val="left"/>
              <w:rPr>
                <w:rFonts w:ascii="Times New Roman" w:hAnsi="Times New Roman" w:eastAsia="仿宋_GB2312"/>
                <w:color w:val="auto"/>
                <w:sz w:val="21"/>
              </w:rPr>
            </w:pPr>
            <w:r>
              <w:rPr>
                <w:rFonts w:ascii="Times New Roman" w:hAnsi="Times New Roman" w:eastAsia="仿宋_GB2312"/>
                <w:color w:val="auto"/>
                <w:sz w:val="21"/>
                <w:lang w:bidi="ar"/>
              </w:rPr>
              <w:t>《医疗器械监督管理条例》第四十条　从事医疗器械经营活动，应当有与经营规模和经营范围相适应的经营场所和贮存条件，以及与经营的医疗器械相适应的质量管理制度和质量管理机构或者人员。第四十二条　从事第三类医疗器械经营的，经营企业应当向所在地设区的市级人民政府负责药品监督管理的部门申请经营许可并提交符合本条例第四十条规定条件的有关资料。受理经营许可申请的负责药品监督管理的部门应当对申请资料进行审查，必要时组织核查，并自受理申请之日起20个工作日内作出决定。对符合规定条件的，准予许可并发给医疗器械经营许可证；对不符合规定条件的，不予许可并书面说明理由。医疗器械经营许可证有效期为5年。有效期届满需要延续的，依照有关行政许可的法律规定办理延续手续。《中华人民共和国行政许可法》第十六条  规章可以在上位法设定的行政许可事项范围内，对实施该行政许可作出具体规定。 《医疗器械经营监督管理办法》第一条 为加强医疗器械经营监督管理，规范医疗器械经营行为，保证医疗器械安全、有效，根据《医疗器械监督管理条例》，制定本办法。第二十四条《医疗器械经营许可证》遗失的，医疗器械经营企业应当立即在原发证部门指定的媒体上登载遗失声明。自登载遗失声明之日起满1个月后，向原发证部门申请补发。原发证部门及时补发《医疗器械经营许可证》。</w:t>
            </w:r>
          </w:p>
        </w:tc>
        <w:tc>
          <w:tcPr>
            <w:tcW w:w="709" w:type="dxa"/>
            <w:noWrap w:val="0"/>
            <w:vAlign w:val="center"/>
          </w:tcPr>
          <w:p w14:paraId="5017614C">
            <w:pPr>
              <w:pStyle w:val="6"/>
              <w:jc w:val="center"/>
              <w:rPr>
                <w:rFonts w:hint="eastAsia" w:ascii="仿宋_GB2312" w:eastAsia="仿宋_GB2312"/>
                <w:color w:val="auto"/>
                <w:lang w:eastAsia="zh-CN"/>
              </w:rPr>
            </w:pPr>
            <w:r>
              <w:rPr>
                <w:rFonts w:hint="eastAsia" w:ascii="仿宋_GB2312" w:eastAsia="仿宋_GB2312"/>
                <w:color w:val="auto"/>
                <w:lang w:eastAsia="zh-CN"/>
              </w:rPr>
              <w:t>取消</w:t>
            </w:r>
          </w:p>
        </w:tc>
        <w:tc>
          <w:tcPr>
            <w:tcW w:w="2551" w:type="dxa"/>
            <w:noWrap w:val="0"/>
            <w:vAlign w:val="center"/>
          </w:tcPr>
          <w:p w14:paraId="6108BD5C">
            <w:pPr>
              <w:pStyle w:val="6"/>
              <w:jc w:val="left"/>
              <w:rPr>
                <w:rFonts w:hint="eastAsia" w:ascii="仿宋_GB2312" w:eastAsia="仿宋_GB2312"/>
                <w:color w:val="auto"/>
                <w:lang w:eastAsia="zh-CN"/>
              </w:rPr>
            </w:pPr>
            <w:r>
              <w:rPr>
                <w:rFonts w:hint="eastAsia" w:ascii="仿宋_GB2312" w:eastAsia="仿宋_GB2312"/>
                <w:color w:val="auto"/>
                <w:lang w:eastAsia="zh-CN"/>
              </w:rPr>
              <w:t>新的《医疗器械经营监督管理办法》（2022年3月10日国家市场监督管理总局令第54号公布，自2022年5月1日起施行）无相关要求。</w:t>
            </w:r>
          </w:p>
        </w:tc>
      </w:tr>
      <w:tr w14:paraId="5BCE5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709" w:type="dxa"/>
            <w:tcBorders>
              <w:left w:val="single" w:color="000000" w:sz="10" w:space="0"/>
            </w:tcBorders>
            <w:noWrap w:val="0"/>
            <w:vAlign w:val="center"/>
          </w:tcPr>
          <w:p w14:paraId="22060307">
            <w:pPr>
              <w:pStyle w:val="6"/>
              <w:jc w:val="center"/>
              <w:rPr>
                <w:rFonts w:eastAsia="宋体"/>
                <w:color w:val="auto"/>
                <w:lang w:eastAsia="zh-CN"/>
              </w:rPr>
            </w:pPr>
            <w:r>
              <w:rPr>
                <w:rFonts w:hint="eastAsia" w:eastAsia="宋体"/>
                <w:color w:val="auto"/>
                <w:lang w:val="en-US" w:eastAsia="zh-CN"/>
              </w:rPr>
              <w:t>8</w:t>
            </w:r>
          </w:p>
        </w:tc>
        <w:tc>
          <w:tcPr>
            <w:tcW w:w="993" w:type="dxa"/>
            <w:noWrap w:val="0"/>
            <w:vAlign w:val="center"/>
          </w:tcPr>
          <w:p w14:paraId="0DC9896E">
            <w:pPr>
              <w:pStyle w:val="6"/>
              <w:jc w:val="center"/>
              <w:rPr>
                <w:rFonts w:ascii="Times New Roman" w:hAnsi="Times New Roman" w:eastAsia="仿宋_GB2312" w:cs="Times New Roman"/>
                <w:color w:val="auto"/>
                <w:lang w:eastAsia="zh-CN" w:bidi="ar"/>
              </w:rPr>
            </w:pPr>
            <w:r>
              <w:rPr>
                <w:rFonts w:hint="eastAsia" w:ascii="Times New Roman" w:hAnsi="Times New Roman" w:eastAsia="仿宋_GB2312" w:cs="Times New Roman"/>
                <w:color w:val="auto"/>
                <w:lang w:eastAsia="zh-CN" w:bidi="ar"/>
              </w:rPr>
              <w:t>药品零售经营许可</w:t>
            </w:r>
          </w:p>
        </w:tc>
        <w:tc>
          <w:tcPr>
            <w:tcW w:w="1701" w:type="dxa"/>
            <w:noWrap w:val="0"/>
            <w:vAlign w:val="center"/>
          </w:tcPr>
          <w:p w14:paraId="52B5670C">
            <w:pPr>
              <w:pStyle w:val="2"/>
              <w:spacing w:beforeAutospacing="0" w:afterAutospacing="0"/>
              <w:jc w:val="center"/>
              <w:rPr>
                <w:rFonts w:ascii="Times New Roman" w:hAnsi="Times New Roman" w:eastAsia="仿宋_GB2312"/>
                <w:color w:val="auto"/>
                <w:sz w:val="21"/>
              </w:rPr>
            </w:pPr>
            <w:r>
              <w:rPr>
                <w:rFonts w:ascii="Times New Roman" w:hAnsi="Times New Roman" w:eastAsia="仿宋_GB2312"/>
                <w:color w:val="auto"/>
                <w:sz w:val="21"/>
              </w:rPr>
              <w:t>无《药品管理法》第75条，第82条规定的情形证明</w:t>
            </w:r>
          </w:p>
        </w:tc>
        <w:tc>
          <w:tcPr>
            <w:tcW w:w="7229" w:type="dxa"/>
            <w:noWrap w:val="0"/>
            <w:vAlign w:val="center"/>
          </w:tcPr>
          <w:p w14:paraId="484387FD">
            <w:pPr>
              <w:pStyle w:val="2"/>
              <w:spacing w:beforeAutospacing="0" w:afterAutospacing="0"/>
              <w:jc w:val="left"/>
              <w:rPr>
                <w:rFonts w:ascii="Times New Roman" w:hAnsi="Times New Roman" w:eastAsia="仿宋_GB2312"/>
                <w:color w:val="auto"/>
                <w:sz w:val="21"/>
              </w:rPr>
            </w:pPr>
            <w:r>
              <w:rPr>
                <w:rFonts w:ascii="Times New Roman" w:hAnsi="Times New Roman" w:eastAsia="仿宋_GB2312"/>
                <w:color w:val="auto"/>
                <w:sz w:val="21"/>
              </w:rPr>
              <w:t>《中华人民共和国药品管理法》第五十一条 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药品经营许可证应当标明有效期和经营范围，到期重新审查发证。药品监督管理部门实施药品经营许可，除依据本法第五十二条规定的条件外，还应当遵循方便群众购药的原则。</w:t>
            </w:r>
          </w:p>
          <w:p w14:paraId="25DE5D4D">
            <w:pPr>
              <w:pStyle w:val="2"/>
              <w:spacing w:beforeAutospacing="0" w:afterAutospacing="0"/>
              <w:jc w:val="left"/>
              <w:rPr>
                <w:rFonts w:ascii="Times New Roman" w:hAnsi="Times New Roman" w:eastAsia="仿宋_GB2312"/>
                <w:color w:val="auto"/>
                <w:sz w:val="21"/>
              </w:rPr>
            </w:pPr>
            <w:r>
              <w:rPr>
                <w:rFonts w:ascii="Times New Roman" w:hAnsi="Times New Roman" w:eastAsia="仿宋_GB2312"/>
                <w:color w:val="auto"/>
                <w:sz w:val="21"/>
              </w:rPr>
              <w:t>第一百一十八条 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第一百二十三条 提供虚假的证明、数据、资料、样品或者采取其他手段骗取临床试验许可、药品生产许可、药品经营许可、医疗机构制剂许可或者药品注册等许可的，撤销相关许可，十年内不受理其相应申请，并处五十万元以上五百万元以下的罚款；情节严重的，对法定代表人、主要负责人、直接负责的主管人员和其他责任人员，处二万元以上二十万元以下的罚款，十年内禁止从事药品生产经营活动，并可以由公安机关处五日以上十五日以下的拘留。《药品经营许可证管理办法》第五条：开办药品零售企业，应符合当地常住人口数量、地域、交通状况和实际需要的要求，符合方便群众购药的原则，并符合以下设置规定</w:t>
            </w:r>
            <w:r>
              <w:rPr>
                <w:rFonts w:hint="eastAsia" w:ascii="Times New Roman" w:hAnsi="Times New Roman" w:eastAsia="仿宋_GB2312"/>
                <w:color w:val="auto"/>
                <w:sz w:val="21"/>
                <w:lang w:eastAsia="zh-CN"/>
              </w:rPr>
              <w:t>：（</w:t>
            </w:r>
            <w:r>
              <w:rPr>
                <w:rFonts w:ascii="Times New Roman" w:hAnsi="Times New Roman" w:eastAsia="仿宋_GB2312"/>
                <w:color w:val="auto"/>
                <w:sz w:val="21"/>
              </w:rPr>
              <w:t>三</w:t>
            </w:r>
            <w:r>
              <w:rPr>
                <w:rFonts w:hint="eastAsia" w:ascii="Times New Roman" w:hAnsi="Times New Roman" w:eastAsia="仿宋_GB2312"/>
                <w:color w:val="auto"/>
                <w:sz w:val="21"/>
                <w:lang w:eastAsia="zh-CN"/>
              </w:rPr>
              <w:t>）</w:t>
            </w:r>
            <w:r>
              <w:rPr>
                <w:rFonts w:ascii="Times New Roman" w:hAnsi="Times New Roman" w:eastAsia="仿宋_GB2312"/>
                <w:color w:val="auto"/>
                <w:sz w:val="21"/>
              </w:rPr>
              <w:t>企业、企业法定代表人、企业负责人、质量负责人无《药品管理法》第75条、第82条规定情形的。</w:t>
            </w:r>
          </w:p>
        </w:tc>
        <w:tc>
          <w:tcPr>
            <w:tcW w:w="709" w:type="dxa"/>
            <w:noWrap w:val="0"/>
            <w:vAlign w:val="center"/>
          </w:tcPr>
          <w:p w14:paraId="28892B3B">
            <w:pPr>
              <w:pStyle w:val="6"/>
              <w:jc w:val="center"/>
              <w:rPr>
                <w:rFonts w:hint="eastAsia" w:ascii="仿宋_GB2312" w:eastAsia="仿宋_GB2312"/>
                <w:color w:val="auto"/>
                <w:lang w:eastAsia="zh-CN"/>
              </w:rPr>
            </w:pPr>
            <w:r>
              <w:rPr>
                <w:rFonts w:hint="eastAsia" w:ascii="仿宋_GB2312" w:eastAsia="仿宋_GB2312"/>
                <w:color w:val="auto"/>
                <w:lang w:eastAsia="zh-CN"/>
              </w:rPr>
              <w:t>取消</w:t>
            </w:r>
          </w:p>
        </w:tc>
        <w:tc>
          <w:tcPr>
            <w:tcW w:w="2551" w:type="dxa"/>
            <w:noWrap w:val="0"/>
            <w:vAlign w:val="center"/>
          </w:tcPr>
          <w:p w14:paraId="3BECB5ED">
            <w:pPr>
              <w:pStyle w:val="6"/>
              <w:jc w:val="left"/>
              <w:rPr>
                <w:rFonts w:hint="eastAsia" w:ascii="仿宋_GB2312" w:hAnsi="Times New Roman" w:eastAsia="仿宋_GB2312" w:cs="Times New Roman"/>
                <w:color w:val="auto"/>
                <w:shd w:val="clear" w:color="auto" w:fill="FFFFFF"/>
                <w:lang w:eastAsia="zh-CN" w:bidi="ar"/>
              </w:rPr>
            </w:pPr>
            <w:r>
              <w:rPr>
                <w:rFonts w:hint="eastAsia" w:ascii="仿宋_GB2312" w:hAnsi="Times New Roman" w:eastAsia="仿宋_GB2312" w:cs="Times New Roman"/>
                <w:color w:val="auto"/>
                <w:shd w:val="clear" w:color="auto" w:fill="FFFFFF"/>
                <w:lang w:eastAsia="zh-CN" w:bidi="ar"/>
              </w:rPr>
              <w:t>2023年9月，国家市场监督管理总局发布《药品经营和使用质量监督管理办法》（国家市场监督管理总局令第84号），自2024年1月1日起实施。对此证明事项无相关要求。</w:t>
            </w:r>
          </w:p>
          <w:p w14:paraId="5016FCF9">
            <w:pPr>
              <w:pStyle w:val="6"/>
              <w:ind w:firstLine="420"/>
              <w:jc w:val="left"/>
              <w:rPr>
                <w:rFonts w:hint="eastAsia" w:ascii="仿宋_GB2312" w:eastAsia="仿宋_GB2312"/>
                <w:color w:val="auto"/>
                <w:lang w:eastAsia="zh-CN"/>
              </w:rPr>
            </w:pPr>
            <w:r>
              <w:rPr>
                <w:rFonts w:hint="eastAsia" w:ascii="仿宋_GB2312" w:hAnsi="Times New Roman" w:eastAsia="仿宋_GB2312" w:cs="Times New Roman"/>
                <w:color w:val="auto"/>
                <w:shd w:val="clear" w:color="auto" w:fill="FFFFFF"/>
                <w:lang w:eastAsia="zh-CN" w:bidi="ar"/>
              </w:rPr>
              <w:t>同时原《药品经营许可证管理办法》废止</w:t>
            </w:r>
            <w:r>
              <w:rPr>
                <w:rFonts w:hint="eastAsia" w:ascii="仿宋_GB2312" w:eastAsia="仿宋_GB2312"/>
                <w:color w:val="auto"/>
                <w:lang w:eastAsia="zh-CN"/>
              </w:rPr>
              <w:t>。</w:t>
            </w:r>
          </w:p>
        </w:tc>
      </w:tr>
      <w:tr w14:paraId="0FF42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709" w:type="dxa"/>
            <w:tcBorders>
              <w:left w:val="single" w:color="000000" w:sz="10" w:space="0"/>
            </w:tcBorders>
            <w:noWrap w:val="0"/>
            <w:vAlign w:val="center"/>
          </w:tcPr>
          <w:p w14:paraId="7F43F9F4">
            <w:pPr>
              <w:pStyle w:val="6"/>
              <w:jc w:val="center"/>
              <w:rPr>
                <w:rFonts w:hint="eastAsia" w:ascii="Arial" w:hAnsi="Arial" w:eastAsia="宋体" w:cs="Arial"/>
                <w:snapToGrid w:val="0"/>
                <w:color w:val="000000"/>
                <w:sz w:val="21"/>
                <w:szCs w:val="21"/>
                <w:lang w:val="en-US" w:eastAsia="zh-CN" w:bidi="ar-SA"/>
              </w:rPr>
            </w:pPr>
            <w:r>
              <w:rPr>
                <w:rFonts w:hint="eastAsia" w:eastAsia="宋体"/>
                <w:lang w:val="en-US" w:eastAsia="zh-CN"/>
              </w:rPr>
              <w:t>9</w:t>
            </w:r>
          </w:p>
        </w:tc>
        <w:tc>
          <w:tcPr>
            <w:tcW w:w="993" w:type="dxa"/>
            <w:noWrap w:val="0"/>
            <w:vAlign w:val="center"/>
          </w:tcPr>
          <w:p w14:paraId="33CF2D2C">
            <w:pPr>
              <w:pStyle w:val="2"/>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snapToGrid w:val="0"/>
                <w:color w:val="auto"/>
                <w:kern w:val="0"/>
                <w:sz w:val="21"/>
                <w:szCs w:val="21"/>
                <w:lang w:val="en-US" w:eastAsia="zh-CN" w:bidi="ar"/>
              </w:rPr>
            </w:pPr>
            <w:r>
              <w:rPr>
                <w:rFonts w:hint="default" w:ascii="Times New Roman" w:hAnsi="Times New Roman" w:eastAsia="仿宋_GB2312" w:cs="Times New Roman"/>
                <w:color w:val="auto"/>
                <w:sz w:val="21"/>
                <w:szCs w:val="21"/>
              </w:rPr>
              <w:t>内资企业注销登记</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简易注销（仅限简易注销）</w:t>
            </w:r>
            <w:r>
              <w:rPr>
                <w:rFonts w:hint="default" w:ascii="Times New Roman" w:hAnsi="Times New Roman" w:eastAsia="仿宋_GB2312" w:cs="Times New Roman"/>
                <w:color w:val="auto"/>
                <w:sz w:val="21"/>
                <w:szCs w:val="21"/>
                <w:lang w:eastAsia="zh-CN"/>
              </w:rPr>
              <w:t>所需的</w:t>
            </w:r>
            <w:r>
              <w:rPr>
                <w:rFonts w:hint="default" w:ascii="Times New Roman" w:hAnsi="Times New Roman" w:eastAsia="仿宋_GB2312" w:cs="Times New Roman"/>
                <w:color w:val="auto"/>
                <w:sz w:val="21"/>
                <w:szCs w:val="21"/>
              </w:rPr>
              <w:t>全体投资人对债权债务处理完毕的</w:t>
            </w:r>
            <w:r>
              <w:rPr>
                <w:rFonts w:hint="default" w:ascii="Times New Roman" w:hAnsi="Times New Roman" w:eastAsia="仿宋_GB2312" w:cs="Times New Roman"/>
                <w:color w:val="auto"/>
                <w:sz w:val="21"/>
                <w:szCs w:val="21"/>
                <w:lang w:eastAsia="zh-CN"/>
              </w:rPr>
              <w:t>证明</w:t>
            </w:r>
          </w:p>
        </w:tc>
        <w:tc>
          <w:tcPr>
            <w:tcW w:w="1701" w:type="dxa"/>
            <w:noWrap w:val="0"/>
            <w:vAlign w:val="center"/>
          </w:tcPr>
          <w:p w14:paraId="4D64F70F">
            <w:pPr>
              <w:pStyle w:val="2"/>
              <w:keepNext w:val="0"/>
              <w:keepLines w:val="0"/>
              <w:widowControl/>
              <w:suppressLineNumbers w:val="0"/>
              <w:spacing w:before="0" w:beforeAutospacing="0" w:after="0" w:afterAutospacing="0" w:line="240" w:lineRule="auto"/>
              <w:ind w:left="0" w:right="0" w:firstLine="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1.关于注销的决议或决</w:t>
            </w:r>
            <w:r>
              <w:rPr>
                <w:rFonts w:hint="eastAsia" w:ascii="Times New Roman" w:hAnsi="Times New Roman" w:eastAsia="仿宋_GB2312" w:cs="Times New Roman"/>
                <w:color w:val="auto"/>
                <w:sz w:val="21"/>
                <w:szCs w:val="21"/>
                <w:lang w:eastAsia="zh-CN"/>
              </w:rPr>
              <w:t>定</w:t>
            </w:r>
            <w:r>
              <w:rPr>
                <w:rFonts w:hint="default" w:ascii="Times New Roman" w:hAnsi="Times New Roman" w:eastAsia="仿宋_GB2312" w:cs="Times New Roman"/>
                <w:color w:val="auto"/>
                <w:sz w:val="21"/>
                <w:szCs w:val="21"/>
              </w:rPr>
              <w:t>；</w:t>
            </w:r>
          </w:p>
          <w:p w14:paraId="2DC53336">
            <w:pPr>
              <w:pStyle w:val="2"/>
              <w:keepNext w:val="0"/>
              <w:keepLines w:val="0"/>
              <w:widowControl/>
              <w:suppressLineNumbers w:val="0"/>
              <w:spacing w:before="0" w:beforeAutospacing="0" w:after="0" w:afterAutospacing="0" w:line="240" w:lineRule="auto"/>
              <w:ind w:left="0" w:right="0" w:firstLine="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2.经确认的清算报告；</w:t>
            </w:r>
          </w:p>
          <w:p w14:paraId="2222A621">
            <w:pPr>
              <w:pStyle w:val="2"/>
              <w:keepNext w:val="0"/>
              <w:keepLines w:val="0"/>
              <w:widowControl/>
              <w:suppressLineNumbers w:val="0"/>
              <w:tabs>
                <w:tab w:val="left" w:pos="2106"/>
              </w:tabs>
              <w:spacing w:before="0" w:beforeAutospacing="0" w:after="0" w:afterAutospacing="0" w:line="240" w:lineRule="auto"/>
              <w:ind w:right="0" w:rightChars="0"/>
              <w:jc w:val="left"/>
              <w:rPr>
                <w:rFonts w:hint="default" w:ascii="Times New Roman" w:hAnsi="Times New Roman" w:eastAsia="仿宋_GB2312" w:cs="Times New Roman"/>
                <w:snapToGrid w:val="0"/>
                <w:color w:val="auto"/>
                <w:kern w:val="0"/>
                <w:sz w:val="21"/>
                <w:szCs w:val="21"/>
                <w:lang w:val="en-US" w:eastAsia="zh-CN" w:bidi="ar"/>
              </w:rPr>
            </w:pPr>
            <w:r>
              <w:rPr>
                <w:rFonts w:hint="default" w:ascii="Times New Roman" w:hAnsi="Times New Roman" w:eastAsia="仿宋_GB2312" w:cs="Times New Roman"/>
                <w:color w:val="auto"/>
                <w:sz w:val="21"/>
                <w:szCs w:val="21"/>
              </w:rPr>
              <w:t>3.书面承诺</w:t>
            </w:r>
          </w:p>
        </w:tc>
        <w:tc>
          <w:tcPr>
            <w:tcW w:w="7229" w:type="dxa"/>
            <w:noWrap w:val="0"/>
            <w:vAlign w:val="center"/>
          </w:tcPr>
          <w:p w14:paraId="4B7FCF5B">
            <w:pPr>
              <w:pStyle w:val="2"/>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snapToGrid w:val="0"/>
                <w:color w:val="auto"/>
                <w:kern w:val="0"/>
                <w:sz w:val="21"/>
                <w:szCs w:val="21"/>
                <w:lang w:val="en-US" w:eastAsia="zh-CN" w:bidi="ar"/>
              </w:rPr>
            </w:pPr>
            <w:r>
              <w:rPr>
                <w:rFonts w:hint="default" w:ascii="Times New Roman" w:hAnsi="Times New Roman" w:eastAsia="仿宋_GB2312" w:cs="Times New Roman"/>
                <w:color w:val="auto"/>
                <w:sz w:val="21"/>
                <w:szCs w:val="21"/>
              </w:rPr>
              <w:t>《中华人民共和国公司登记管理条例》第四十三条 公司申请注销登记，应当提交下列文件：（二）人民法院的破产裁定、解散裁判文书，公司依照《公司法》作出的决议或者决定，行政机关责令关闭或者公司被撤销的文件；（三）股东会、股东大会、一人有限责任公司的股东、外商投资的公司董事会或者人民法院、公司批准机关备案、确认的清算报告。</w:t>
            </w:r>
          </w:p>
        </w:tc>
        <w:tc>
          <w:tcPr>
            <w:tcW w:w="709" w:type="dxa"/>
            <w:noWrap w:val="0"/>
            <w:vAlign w:val="center"/>
          </w:tcPr>
          <w:p w14:paraId="5E211F86">
            <w:pPr>
              <w:pStyle w:val="2"/>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snapToGrid w:val="0"/>
                <w:color w:val="auto"/>
                <w:kern w:val="0"/>
                <w:sz w:val="21"/>
                <w:szCs w:val="21"/>
                <w:lang w:val="en-US" w:eastAsia="zh-CN" w:bidi="ar"/>
              </w:rPr>
            </w:pPr>
            <w:r>
              <w:rPr>
                <w:rFonts w:hint="eastAsia" w:ascii="Times New Roman" w:hAnsi="Times New Roman" w:eastAsia="仿宋_GB2312" w:cs="Times New Roman"/>
                <w:snapToGrid w:val="0"/>
                <w:color w:val="auto"/>
                <w:kern w:val="0"/>
                <w:sz w:val="21"/>
                <w:szCs w:val="21"/>
                <w:lang w:val="en-US" w:eastAsia="zh-CN" w:bidi="ar"/>
              </w:rPr>
              <w:t>修改</w:t>
            </w:r>
          </w:p>
        </w:tc>
        <w:tc>
          <w:tcPr>
            <w:tcW w:w="2551" w:type="dxa"/>
            <w:noWrap w:val="0"/>
            <w:vAlign w:val="center"/>
          </w:tcPr>
          <w:p w14:paraId="3943887E">
            <w:pPr>
              <w:pStyle w:val="2"/>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snapToGrid w:val="0"/>
                <w:color w:val="auto"/>
                <w:sz w:val="21"/>
                <w:szCs w:val="21"/>
                <w:lang w:val="en-US" w:eastAsia="zh-CN" w:bidi="ar-SA"/>
              </w:rPr>
            </w:pPr>
            <w:r>
              <w:rPr>
                <w:rFonts w:hint="eastAsia" w:ascii="Times New Roman" w:hAnsi="Times New Roman" w:eastAsia="仿宋_GB2312" w:cs="Times New Roman"/>
                <w:color w:val="auto"/>
                <w:sz w:val="21"/>
                <w:szCs w:val="21"/>
                <w:lang w:eastAsia="zh-CN"/>
              </w:rPr>
              <w:t>新城区现无外资企业的登记注册权</w:t>
            </w:r>
          </w:p>
        </w:tc>
      </w:tr>
      <w:tr w14:paraId="33E9F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0" w:type="auto"/>
            <w:noWrap w:val="0"/>
            <w:vAlign w:val="center"/>
          </w:tcPr>
          <w:p w14:paraId="37784938">
            <w:pPr>
              <w:bidi w:val="0"/>
              <w:ind w:firstLine="420" w:firstLineChars="200"/>
              <w:jc w:val="both"/>
              <w:rPr>
                <w:rFonts w:hint="default" w:ascii="Arial" w:hAnsi="Arial" w:eastAsia="宋体" w:cs="Arial"/>
                <w:snapToGrid w:val="0"/>
                <w:color w:val="000000"/>
                <w:sz w:val="21"/>
                <w:szCs w:val="21"/>
                <w:lang w:val="en-US" w:eastAsia="zh-CN" w:bidi="ar-SA"/>
              </w:rPr>
            </w:pPr>
            <w:r>
              <w:rPr>
                <w:rFonts w:hint="eastAsia" w:eastAsia="宋体"/>
                <w:lang w:val="en-US" w:eastAsia="zh-CN"/>
              </w:rPr>
              <w:t>10</w:t>
            </w:r>
          </w:p>
        </w:tc>
        <w:tc>
          <w:tcPr>
            <w:tcW w:w="0" w:type="auto"/>
            <w:noWrap w:val="0"/>
            <w:vAlign w:val="center"/>
          </w:tcPr>
          <w:p w14:paraId="4141C9B4">
            <w:pPr>
              <w:pStyle w:val="2"/>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snapToGrid w:val="0"/>
                <w:color w:val="auto"/>
                <w:kern w:val="0"/>
                <w:sz w:val="21"/>
                <w:szCs w:val="21"/>
                <w:lang w:val="en-US" w:eastAsia="zh-CN" w:bidi="ar"/>
              </w:rPr>
            </w:pPr>
            <w:r>
              <w:rPr>
                <w:rFonts w:hint="default" w:ascii="Times New Roman" w:hAnsi="Times New Roman" w:eastAsia="仿宋_GB2312" w:cs="Times New Roman"/>
                <w:color w:val="auto"/>
                <w:sz w:val="21"/>
                <w:szCs w:val="21"/>
              </w:rPr>
              <w:t>内资企业设立、变更登记</w:t>
            </w:r>
            <w:r>
              <w:rPr>
                <w:rFonts w:hint="default" w:ascii="Times New Roman" w:hAnsi="Times New Roman" w:eastAsia="仿宋_GB2312" w:cs="Times New Roman"/>
                <w:color w:val="auto"/>
                <w:sz w:val="21"/>
                <w:szCs w:val="21"/>
                <w:lang w:eastAsia="zh-CN"/>
              </w:rPr>
              <w:t>所需的</w:t>
            </w:r>
            <w:r>
              <w:rPr>
                <w:rFonts w:hint="default" w:ascii="Times New Roman" w:hAnsi="Times New Roman" w:eastAsia="仿宋_GB2312" w:cs="Times New Roman"/>
                <w:color w:val="auto"/>
                <w:sz w:val="21"/>
                <w:szCs w:val="21"/>
              </w:rPr>
              <w:t>住所（经营场所）证明</w:t>
            </w:r>
          </w:p>
        </w:tc>
        <w:tc>
          <w:tcPr>
            <w:tcW w:w="0" w:type="auto"/>
            <w:noWrap w:val="0"/>
            <w:vAlign w:val="center"/>
          </w:tcPr>
          <w:p w14:paraId="27EBF298">
            <w:pPr>
              <w:pStyle w:val="2"/>
              <w:keepNext w:val="0"/>
              <w:keepLines w:val="0"/>
              <w:widowControl/>
              <w:suppressLineNumbers w:val="0"/>
              <w:tabs>
                <w:tab w:val="left" w:pos="619"/>
              </w:tabs>
              <w:spacing w:before="0" w:beforeAutospacing="0" w:after="0" w:afterAutospacing="0" w:line="240" w:lineRule="auto"/>
              <w:ind w:left="0" w:leftChars="0" w:right="0" w:rightChars="0" w:firstLine="0" w:firstLineChars="0"/>
              <w:jc w:val="left"/>
              <w:rPr>
                <w:rFonts w:hint="default" w:ascii="Times New Roman" w:hAnsi="Times New Roman" w:eastAsia="仿宋_GB2312" w:cs="Times New Roman"/>
                <w:snapToGrid w:val="0"/>
                <w:color w:val="auto"/>
                <w:kern w:val="0"/>
                <w:sz w:val="21"/>
                <w:szCs w:val="21"/>
                <w:lang w:val="en-US" w:eastAsia="zh-CN" w:bidi="ar"/>
              </w:rPr>
            </w:pPr>
            <w:r>
              <w:rPr>
                <w:rFonts w:hint="default" w:ascii="Times New Roman" w:hAnsi="Times New Roman" w:eastAsia="仿宋_GB2312" w:cs="Times New Roman"/>
                <w:color w:val="auto"/>
                <w:sz w:val="21"/>
                <w:szCs w:val="21"/>
              </w:rPr>
              <w:t>书面承诺</w:t>
            </w:r>
          </w:p>
        </w:tc>
        <w:tc>
          <w:tcPr>
            <w:tcW w:w="0" w:type="auto"/>
            <w:noWrap w:val="0"/>
            <w:vAlign w:val="center"/>
          </w:tcPr>
          <w:p w14:paraId="357176D0">
            <w:pPr>
              <w:pStyle w:val="2"/>
              <w:keepNext w:val="0"/>
              <w:keepLines w:val="0"/>
              <w:widowControl/>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snapToGrid w:val="0"/>
                <w:color w:val="auto"/>
                <w:kern w:val="0"/>
                <w:sz w:val="21"/>
                <w:szCs w:val="21"/>
                <w:lang w:val="en-US" w:eastAsia="zh-CN" w:bidi="ar"/>
              </w:rPr>
            </w:pPr>
            <w:r>
              <w:rPr>
                <w:rFonts w:hint="default" w:ascii="Times New Roman" w:hAnsi="Times New Roman" w:eastAsia="仿宋_GB2312" w:cs="Times New Roman"/>
                <w:color w:val="auto"/>
                <w:sz w:val="21"/>
                <w:szCs w:val="21"/>
              </w:rPr>
              <w:t>《中华人民共和国公司登记管理条例》第二十条 第二款 申请设立有限责任公司，应当向公司登记机关提交下列文件：（八）公司住所证明 第二十一条 第二款 申请设立股份有限公司，应当向公司登记机关提交下列文件：（八）公司住所证明</w:t>
            </w:r>
            <w:r>
              <w:rPr>
                <w:rFonts w:hint="default" w:ascii="Times New Roman" w:hAnsi="Times New Roman" w:eastAsia="仿宋_GB2312" w:cs="Times New Roman"/>
                <w:color w:val="auto"/>
                <w:sz w:val="21"/>
                <w:szCs w:val="21"/>
                <w:lang w:eastAsia="zh-CN"/>
              </w:rPr>
              <w:t>。</w:t>
            </w:r>
          </w:p>
        </w:tc>
        <w:tc>
          <w:tcPr>
            <w:tcW w:w="0" w:type="auto"/>
            <w:noWrap w:val="0"/>
            <w:vAlign w:val="center"/>
          </w:tcPr>
          <w:p w14:paraId="02EAA4B6">
            <w:pPr>
              <w:pStyle w:val="2"/>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snapToGrid w:val="0"/>
                <w:color w:val="auto"/>
                <w:kern w:val="0"/>
                <w:sz w:val="21"/>
                <w:szCs w:val="21"/>
                <w:lang w:val="en-US" w:eastAsia="zh-CN" w:bidi="ar"/>
              </w:rPr>
            </w:pPr>
            <w:r>
              <w:rPr>
                <w:rFonts w:hint="eastAsia" w:ascii="Times New Roman" w:hAnsi="Times New Roman" w:eastAsia="仿宋_GB2312" w:cs="Times New Roman"/>
                <w:snapToGrid w:val="0"/>
                <w:color w:val="auto"/>
                <w:kern w:val="0"/>
                <w:sz w:val="21"/>
                <w:szCs w:val="21"/>
                <w:lang w:val="en-US" w:eastAsia="zh-CN" w:bidi="ar"/>
              </w:rPr>
              <w:t>修改</w:t>
            </w:r>
          </w:p>
        </w:tc>
        <w:tc>
          <w:tcPr>
            <w:tcW w:w="0" w:type="auto"/>
            <w:noWrap w:val="0"/>
            <w:vAlign w:val="center"/>
          </w:tcPr>
          <w:p w14:paraId="7D1E1496">
            <w:pPr>
              <w:pStyle w:val="2"/>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snapToGrid w:val="0"/>
                <w:color w:val="auto"/>
                <w:sz w:val="21"/>
                <w:szCs w:val="21"/>
                <w:lang w:val="en-US" w:eastAsia="zh-CN" w:bidi="ar-SA"/>
              </w:rPr>
            </w:pPr>
            <w:r>
              <w:rPr>
                <w:rFonts w:hint="eastAsia" w:ascii="Times New Roman" w:hAnsi="Times New Roman" w:eastAsia="仿宋_GB2312" w:cs="Times New Roman"/>
                <w:color w:val="auto"/>
                <w:sz w:val="21"/>
                <w:szCs w:val="21"/>
                <w:lang w:eastAsia="zh-CN"/>
              </w:rPr>
              <w:t>新城区现无外资企业的登记注册权</w:t>
            </w:r>
          </w:p>
        </w:tc>
      </w:tr>
    </w:tbl>
    <w:p w14:paraId="30493B39">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mMjViOGI3MDE4MTgxODI2NzBmZWFlYzI4N2I1NjgifQ=="/>
  </w:docVars>
  <w:rsids>
    <w:rsidRoot w:val="00000000"/>
    <w:rsid w:val="22450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customStyle="1" w:styleId="5">
    <w:name w:val="Table Normal"/>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2024-10-11T06:46:04Z</dcterms:created>
  <dc:creator>admin</dc:creator>
  <cp:lastModifiedBy>WPS_1617701843</cp:lastModifiedBy>
  <dcterms:modified xsi:type="dcterms:W3CDTF">2024-10-11T06:47:11Z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52905063727B42FA9B83EAF756C6FB1D_12</vt:lpwstr>
  </property>
</Properties>
</file>