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华文中宋"/>
          <w:sz w:val="32"/>
          <w:szCs w:val="32"/>
        </w:rPr>
      </w:pPr>
      <w:bookmarkStart w:id="0" w:name="_GoBack"/>
      <w:bookmarkEnd w:id="0"/>
      <w:r>
        <w:rPr>
          <w:rFonts w:hint="eastAsia" w:ascii="黑体" w:hAnsi="黑体" w:eastAsia="黑体" w:cs="华文中宋"/>
          <w:sz w:val="32"/>
          <w:szCs w:val="32"/>
        </w:rPr>
        <w:t>附件</w:t>
      </w:r>
    </w:p>
    <w:p>
      <w:pPr>
        <w:jc w:val="center"/>
        <w:rPr>
          <w:rFonts w:ascii="仿宋" w:hAnsi="仿宋" w:eastAsia="仿宋" w:cs="仿宋"/>
          <w:sz w:val="44"/>
          <w:szCs w:val="44"/>
        </w:rPr>
      </w:pPr>
      <w:r>
        <w:rPr>
          <w:rFonts w:hint="eastAsia" w:ascii="方正小标宋简体" w:hAnsi="华文中宋" w:eastAsia="方正小标宋简体" w:cs="华文中宋"/>
          <w:sz w:val="44"/>
          <w:szCs w:val="44"/>
        </w:rPr>
        <w:t>西安市新城区行政备案事项清单（2023年版）</w:t>
      </w:r>
    </w:p>
    <w:p>
      <w:pPr>
        <w:pStyle w:val="9"/>
        <w:ind w:firstLine="420"/>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417"/>
        <w:gridCol w:w="2123"/>
        <w:gridCol w:w="2948"/>
        <w:gridCol w:w="1417"/>
        <w:gridCol w:w="477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0" w:hRule="atLeast"/>
          <w:tblHeader/>
          <w:jc w:val="center"/>
        </w:trPr>
        <w:tc>
          <w:tcPr>
            <w:tcW w:w="641"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序号</w:t>
            </w:r>
          </w:p>
        </w:tc>
        <w:tc>
          <w:tcPr>
            <w:tcW w:w="1417"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主管部门</w:t>
            </w:r>
          </w:p>
        </w:tc>
        <w:tc>
          <w:tcPr>
            <w:tcW w:w="2123"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事项名称(主项)</w:t>
            </w:r>
          </w:p>
        </w:tc>
        <w:tc>
          <w:tcPr>
            <w:tcW w:w="2948"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子项名称</w:t>
            </w:r>
          </w:p>
        </w:tc>
        <w:tc>
          <w:tcPr>
            <w:tcW w:w="1417"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实施机关</w:t>
            </w:r>
          </w:p>
        </w:tc>
        <w:tc>
          <w:tcPr>
            <w:tcW w:w="4772" w:type="dxa"/>
            <w:tcBorders>
              <w:tl2br w:val="nil"/>
              <w:tr2bl w:val="nil"/>
            </w:tcBorders>
            <w:shd w:val="clear" w:color="auto" w:fill="auto"/>
            <w:vAlign w:val="center"/>
          </w:tcPr>
          <w:p>
            <w:pPr>
              <w:jc w:val="center"/>
              <w:textAlignment w:val="baseline"/>
              <w:rPr>
                <w:rFonts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设定和实施依据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音像制品零售单位变更、终止备案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音像制品零售单位变更地址备案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音像制品零售单位变更法定代表人或者主要负责人备案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音像制品零售单位终止经营活动备案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从事音像制品零售经营活动的个体工商户变更、终止备案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从事音像制品零售经营活动的个体工商户变更业务范围备案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从事音像制品零售经营活动的个体工商户变更地址备案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从事音像制品零售经营活动的个体工商户终止经营活动备案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《音像制品管理条例》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《印刷登记簿》备案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《印刷品承印管理规定》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从事出版物出租业务备案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单位从事出版物出租业务备案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个人从事出版物出租业务备案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取得出版物经营许可证的单位、个人从事出版物网络发行经营活动备案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取得出版物经营许可证的单位从事出版物网络发行经营活动备案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取得出版物经营许可证的个人从事出版物网络发行经营活动备案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从事出版物发行业务的单位、个人临时开展出版物销售活动备案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从事出版物发行业务的单位临时开展出版物销售活动备案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从事出版物发行业务的个人临时开展出版物销售活动备案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出版物发行单位设立不具备法人资格的发行分支机构备案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出版物批发单位设立不具备法人资格的发行分支机构备案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出版物零售单位设立不具备法人资格的发行分支机构备案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出版单位设立不具备法人资格的发行分支机构备案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出版物发行业务注销备案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单位从事出版物发行业务注销备案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个人从事出版物发行业务注销备案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《出版物市场管理规定》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从事电影流动放映活动备案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企业从事电影流动放映活动备案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《中华人民共和国电影产业促进法》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个人从事电影流动放映活动备案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《中华人民共和国电影产业促进法》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电影发行、放映单位变更备案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电影放映单位变更备案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电影发行、放映单位注销备案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电影放映单位注销备案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区委宣传部</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《电影管理条例》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固定资产投资项目备案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企业投资项目备案及房地产开发项目备案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《企业投资项目核准和备案管理条例》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《陕西省企业投资项目核准和备案管理办法》（陕发改投资〔2017〕1331号）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外商投资项目备案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《企业投资项目核准和备案管理条例》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《外商投资项目核准和备案管理办法》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《陕西省外商投资项目核准和备案管理办法》（陕发改外资〔2021〕1209号）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光伏电站项目备案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《企业投资项目核准和备案管理条例》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《光伏电站开发建设管理办法》（国能发新能规〔2022〕104号）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《国务院关于投资体制改革的决定》（国发〔2004〕20号）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《陕西省发展和改革委员会关于进一步加强光伏发电项目管理的通知》（</w:t>
            </w:r>
            <w:r>
              <w:rPr>
                <w:rFonts w:hint="eastAsia" w:ascii="方正书宋简体" w:hAnsi="方正书宋简体" w:eastAsia="方正书宋简体" w:cs="方正书宋简体"/>
                <w:w w:val="80"/>
                <w:sz w:val="21"/>
                <w:szCs w:val="21"/>
                <w:lang w:bidi="ar"/>
              </w:rPr>
              <w:t>陕发改新能源〔2016〕1629号）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固定资产投资项目节能验收报告备案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《固定资产投资项目节能审查办法》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汽车其他投资项目备案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《汽车产业投资管理规定》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自行办理招标事宜的备案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default"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《中华人民共和国招标投标法》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《陕西省实施〈中华人民共和国招标投标法〉办法》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工程招标投标情况书面报告备案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default"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《中华人民共和国招标投标法》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投资建设充(换)电设施项目备案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投资建设充(换)电设施项目设立备案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《陕西省电动汽车充电基础设施建设运营管理办法》（陕发改煤电〔2018〕1512号）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投资建设充(换)电设施项目变更备案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《陕西省电动汽车充电基础设施建设运营管理办法》（陕发改煤电〔2018〕1512号）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粮食收购备案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《粮食流通管理条例》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粮油仓储单位备案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《粮油仓储管理办法》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《国有粮油仓储物流设施保护办法》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储粮熏蒸作业备案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《粮油仓储管理办法》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国有粮油仓储单位拆迁、改变用途的备案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《国有粮油仓储物流设施保护办法》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征收、征用国有粮油仓储物流设施的备案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《国有粮油仓储物流设施保护办法》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粮油仓储单位出租、出借粮油仓储物流设施的备案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《国有粮油仓储物流设施保护办法》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人民防空工程、兼顾人民防空需要的地下工程竣工验收备案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《建设工程质量管理条例》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《人民防空工程建设管理规定》（国人防办字〔2003〕第18号）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《人民防空工程质量监督管理规定》（国人防办字〔2010〕288号）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人民防空工程质量监督手续备案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《建设工程质量管理条例》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《人民防空工程建设管理规定》（国人防办字〔2003〕第18号）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《人民防空工程质量监督管理规定》（国人防办字〔2010〕288号）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人防工程平时利用、变更和战时转换备案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《中华人民共和国人民防空法》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《人民防空工程建设管理规定》（国人防办字〔2003〕第18号）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《陕西省实施〈中华人民共和国人民防空法〉办法》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一般建设工程抗震设防要求备案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《陕西省防震减灾条例》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641"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212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生产建设项目水土保持方案设施自主验收备案</w:t>
            </w:r>
          </w:p>
        </w:tc>
        <w:tc>
          <w:tcPr>
            <w:tcW w:w="29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op w:val="single" w:color="000000" w:sz="4" w:space="0"/>
              <w:left w:val="single" w:color="000000" w:sz="4" w:space="0"/>
              <w:bottom w:val="single" w:color="000000" w:sz="4" w:space="0"/>
              <w:right w:val="single" w:color="000000" w:sz="8" w:space="0"/>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《水利部办公厅关于印发生产建设项目水土保持监督管理办法的通知》（办水保〔2019〕172号）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民办学校招生简章和广告备案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《国务院关于第三批取消中央指定地方实施行政许可事项的决定》（国发〔2017〕7号）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民办学校学籍和教学管理制度备案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bidi="ar"/>
              </w:rPr>
              <w:t>区</w:t>
            </w:r>
            <w:r>
              <w:rPr>
                <w:rFonts w:hint="eastAsia" w:ascii="方正书宋简体" w:hAnsi="方正书宋简体" w:eastAsia="方正书宋简体" w:cs="方正书宋简体"/>
                <w:sz w:val="21"/>
                <w:szCs w:val="21"/>
                <w:lang w:val="en-US" w:eastAsia="zh-CN" w:bidi="ar"/>
              </w:rPr>
              <w:t>行政</w:t>
            </w:r>
          </w:p>
          <w:p>
            <w:pPr>
              <w:spacing w:line="360" w:lineRule="exact"/>
              <w:jc w:val="center"/>
              <w:textAlignment w:val="baseline"/>
              <w:rPr>
                <w:rFonts w:hint="default"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审批局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《中华人民共和国民办教育促进法实施条例》</w:t>
            </w:r>
          </w:p>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民办学校自主设置课程的备案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《中华人民共和国民办教育促进法实施条例》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民办学校重大事项变更的备案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民办学校章程变更的备案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民办学校异地设立分校在原审批机关的备案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《中华人民共和国民办教育促进法实施条例》</w:t>
            </w:r>
          </w:p>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sz w:val="21"/>
                <w:szCs w:val="21"/>
              </w:rPr>
            </w:pPr>
            <w:r>
              <w:rPr>
                <w:rFonts w:hint="eastAsia" w:ascii="方正书宋简体" w:hAnsi="方正书宋简体" w:eastAsia="方正书宋简体" w:cs="方正书宋简体"/>
                <w:kern w:val="2"/>
                <w:sz w:val="21"/>
                <w:szCs w:val="21"/>
                <w:lang w:val="en-US" w:eastAsia="zh-CN"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民办学校理事会</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监事会成员变更的备案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w:t>
            </w:r>
          </w:p>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民办学校法人举办者控股股东和实际控制人变更的备案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教育移动互联网应用程序备案</w:t>
            </w:r>
          </w:p>
        </w:tc>
        <w:tc>
          <w:tcPr>
            <w:tcW w:w="2948"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教育移动互联网应用程序使用者备案</w:t>
            </w: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4772"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《教育移动互联网应用程序备案管理办法》（教技厅〔2019〕3号）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4772"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24"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区教育局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校车安全管理责任书备案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《校车安全管理条例》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6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宗教教职人员担任或者离任宗教活动场所主要教职备案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宗教教职人员跨县担任或者离任宗教活动场所主要教职备案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《宗教事务条例》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《陕西省宗教事务条例》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担任宗教活动场所主要教职注销备案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《宗教教职人员管理办法》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本省宗教教职人员主持宗教活动备案</w:t>
            </w:r>
          </w:p>
        </w:tc>
        <w:tc>
          <w:tcPr>
            <w:tcW w:w="2948"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宗教教职人员在省内跨县(市</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区)主持宗教活动备案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eastAsia="zh-CN" w:bidi="ar"/>
              </w:rPr>
            </w:pPr>
            <w:r>
              <w:rPr>
                <w:rFonts w:hint="eastAsia" w:ascii="方正书宋简体" w:hAnsi="方正书宋简体" w:eastAsia="方正书宋简体" w:cs="方正书宋简体"/>
                <w:sz w:val="21"/>
                <w:szCs w:val="21"/>
                <w:lang w:bidi="ar"/>
              </w:rPr>
              <w:t>《陕西省宗教事务条例</w:t>
            </w:r>
            <w:r>
              <w:rPr>
                <w:rFonts w:hint="eastAsia" w:ascii="方正书宋简体" w:hAnsi="方正书宋简体" w:eastAsia="方正书宋简体" w:cs="方正书宋简体"/>
                <w:sz w:val="21"/>
                <w:szCs w:val="21"/>
                <w:lang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宗教活动场所管理组织的成员备案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《宗教事务条例》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《陕西省宗教事务条例》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宗教活动场所突发事件应急预案备案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641" w:type="dxa"/>
            <w:tcBorders>
              <w:top w:val="single" w:color="auto" w:sz="4" w:space="0"/>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宗教活动场所内部财务管理制度备案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《宗教活动场所财务管理办法》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641" w:type="dxa"/>
            <w:tcBorders>
              <w:top w:val="single" w:color="auto" w:sz="4" w:space="0"/>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宗教活动场所年度收入和支出预算备案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《宗教活动场所财务管理办法》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宗教活动场所单位银行结算账户信息备案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《宗教活动场所财务管理办法》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取得法人资格的宗教活动场所印章式样备案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《国家宗教事务局民政部关于宗教活动场所办理法人登记事项的通知》（国宗发〔2019〕1号）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宗教活动场所监事备案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《国家宗教事务局关于印发〈宗教活动场所法人章程示范文本&gt;的通知》（国宗发〔2019〕2号）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宗教团体、寺观教堂开展学习时间在三个月以下的宗教教育培训备案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区民宗局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互联单位、接入单位、使用计算机信息网络的法人和其他组织办理接入国际联网备案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《计算机信息网络国际联网安全保护管理办法》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治安保卫重点单位保卫机构设置和人员配备情况备案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《企业事业单位内部治安保卫条例》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娱乐服务场所备案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《娱乐场所管理条例》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收购非生产性废旧金属备案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《废旧金属收购业治安管理办法》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城市、风景名胜区和重要工程设施附近实施爆破作业备案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爆破作业合同备案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《民用爆炸物品安全管理条例》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《爆破作业项目管理要求》（GA991-2012）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公章刻制备案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《印铸刻字业暂行管理规则》</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《国务院关于第三批取消中央指定地方实施行政许可事项的决定》（国发〔2017〕7号）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民用爆炸物品销售企业备案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进出口民用爆炸物品的情况备案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民用爆炸物品生产企业备案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爆破作业单位备案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《民用爆炸物品安全管理条例》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管制刀具制造企业刀具样品及其说明备案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hint="eastAsia" w:ascii="方正书宋简体" w:hAnsi="方正书宋简体" w:eastAsia="方正书宋简体" w:cs="方正书宋简体"/>
                <w:sz w:val="21"/>
                <w:szCs w:val="21"/>
                <w:lang w:eastAsia="zh-CN"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《公安部对部分刀具实行管制的暂行规定》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房屋承租人基本情况登记备案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hint="eastAsia" w:ascii="方正书宋简体" w:hAnsi="方正书宋简体" w:eastAsia="方正书宋简体" w:cs="方正书宋简体"/>
                <w:sz w:val="21"/>
                <w:szCs w:val="21"/>
                <w:lang w:eastAsia="zh-CN" w:bidi="ar"/>
              </w:rPr>
            </w:pPr>
            <w:r>
              <w:rPr>
                <w:rFonts w:hint="eastAsia" w:ascii="方正书宋简体" w:hAnsi="方正书宋简体" w:eastAsia="方正书宋简体" w:cs="方正书宋简体"/>
                <w:sz w:val="21"/>
                <w:szCs w:val="21"/>
                <w:lang w:val="en-US" w:eastAsia="zh-CN" w:bidi="ar"/>
              </w:rPr>
              <w:t>派出所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《租赁房屋治安管理规定》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房屋承租人将承租房屋转租或者转借他人向当地公安派出所申报备案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val="en-US" w:eastAsia="zh-CN" w:bidi="ar"/>
              </w:rPr>
              <w:t>派出所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《租赁房屋治安管理规定》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旅馆歇业、转业、合并、迁移、改变名称等情况备案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《旅馆业治安管理办法》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第三类易制毒化学品运输备案证明</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《易制毒化学品管理条例》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射击竞技体育运动单位接待训练、比赛等射击活动备案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《射击竞技体育运动枪支管理办法》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易制爆危险化学品从业单位转产、停产停业后生产装置、储存设施、库存处置方案备案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《易制爆危险化学品治安管理办法》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易制毒化学品销售、购买情况备案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公安</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《易制毒化学品管理条例》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《易制爆危险化学品治安管理办法》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交警</w:t>
            </w:r>
          </w:p>
          <w:p>
            <w:pPr>
              <w:spacing w:line="360" w:lineRule="exact"/>
              <w:jc w:val="center"/>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val="en-US" w:eastAsia="zh-CN" w:bidi="ar"/>
              </w:rPr>
              <w:t>新城大队</w:t>
            </w:r>
          </w:p>
        </w:tc>
        <w:tc>
          <w:tcPr>
            <w:tcW w:w="2123"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bidi="ar"/>
              </w:rPr>
              <w:t>剧毒化学品运达目的地备案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kern w:val="2"/>
                <w:sz w:val="21"/>
                <w:szCs w:val="21"/>
                <w:lang w:val="en-US" w:eastAsia="zh-CN"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交警</w:t>
            </w:r>
          </w:p>
          <w:p>
            <w:pPr>
              <w:spacing w:line="360" w:lineRule="exact"/>
              <w:jc w:val="center"/>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val="en-US" w:eastAsia="zh-CN" w:bidi="ar"/>
              </w:rPr>
              <w:t>新城大队</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bidi="ar"/>
              </w:rPr>
              <w:t>《剧毒化学品购买和公路运输许可证件管理办法》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公共停车场、向社会提供经营服务的专用停车场经营单位备案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《西安市机动车停车条例》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清运企业、车辆、驾驶人备案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《西安市建筑垃圾管理条例》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道路运输企业聘用机动车驾驶人备案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交警</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新城大队</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《机动车驾驶证申领和使用规定》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养老机构备案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《中华人民共和国老年人权益保障法》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《养老机构管理办法》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《西安市民政局关于做好养老机构登记备案和事中事后监管工作的通知》（市民发〔2019〕67号）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社会团体印章样式、银行账号备案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区行政审批局；公安新城分局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《社会团体登记管理条例》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《社会团体印章管理规定》</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民办非企业单位印章样式、银行账号备案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区行政审批局；公安新城分局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《民办非企业单位登记管理暂行条例》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《民办非企业单位印章管理规定》</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捐献遗体备案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《陕西省殡葬管理办法》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管辖区域外开展公开募捐活动备案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《中华人民共和国慈善法》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《慈善组织公开募捐管理办法》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公开募捐方案备案</w:t>
            </w:r>
          </w:p>
        </w:tc>
        <w:tc>
          <w:tcPr>
            <w:tcW w:w="2948"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《中华人民共和国慈善法》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4772"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变更捐赠财产用途备案</w:t>
            </w:r>
          </w:p>
        </w:tc>
        <w:tc>
          <w:tcPr>
            <w:tcW w:w="2948"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《中华人民共和国慈善法》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4772"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慈善信托备案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慈善信托备案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《中华人民共和国慈善法》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《慈善信托管理办法》（银监发〔2017〕37号）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慈善信托受托人变更备案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区民政局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《中华人民共和国慈善法》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公证员年度考核结果备案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《公证员执业管理办法》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对违规律师辞退或除名备案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《律师事务所管理办法》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基层法律服务所与基层法律服务工作者解除聘用合同或者劳动合同备案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《基层法律服务工作者管理办法》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基层法律服务所辅助工作人员的聘用</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变更情况备案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人民调解委员会对推选、聘任产生的人民调解员备案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区司法局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《陕西省人民调解员管理服务办法》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代理记账机构设立分支机构备案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《西安市人民政府办公厅关于贯彻落实中省取消承接和下放一批行政事权的通知》（市政办发〔2019〕45号）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代理记账机构分支机构名称、负责人变更备案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《西安市人民政府办公厅关于贯彻落实中省取消承接和下放一批行政事权的通知》（市政办发〔2019〕45号）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代理记账机构及其分支机构年度报备</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《代理记账管理办法》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《西安市人民政府办公厅关于贯彻落实中省取消承接和下放一批行政事权的通知》（市政办发〔2019〕45号）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金融企业国有资产评估项目备案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区财政局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《金融企业国有资产评估监督管理暂行办法》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区人社局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人力资源服务企业备案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《人力资源市场暂行条例》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《陕西省人力资源市场条例》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劳务派遣单位设立分公司经营劳务派遣业务备案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《劳务派遣行政许可实施办法》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color w:val="000000"/>
                <w:kern w:val="0"/>
                <w:sz w:val="21"/>
                <w:szCs w:val="21"/>
              </w:rPr>
              <w:t>排污登记表备案</w:t>
            </w:r>
          </w:p>
        </w:tc>
        <w:tc>
          <w:tcPr>
            <w:tcW w:w="294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ascii="方正书宋简体" w:hAnsi="方正书宋简体" w:eastAsia="方正书宋简体" w:cs="方正书宋简体"/>
                <w:color w:val="000000"/>
                <w:kern w:val="2"/>
                <w:sz w:val="21"/>
                <w:szCs w:val="21"/>
                <w:lang w:val="en-US" w:eastAsia="zh-CN" w:bidi="ar-SA"/>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color w:val="000000"/>
                <w:kern w:val="0"/>
                <w:sz w:val="21"/>
                <w:szCs w:val="21"/>
              </w:rPr>
              <w:t>《排污许可管理条例》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生态环境恢复治理方案备案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《陕西省煤炭石油天然气开发生态环境保护条例》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《陕西省秦岭生态环境保护条例》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环境影响后评价备案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《中华人民共和国环境影响评价法》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建设项目环境影响登记表备案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《中华人民共和国环境影响评价法》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《建设项目环境保护管理条例》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《建设项目环境影响登记表备案管理办法》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突发环境事件应急预案备案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《突发环境事件应急管理办法》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危险废物意外事故防范措施和应急预案备案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《中华人民共和国固体废物污染环境防治法》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《陕西省固体废物污染环境防治条例》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从事含消耗臭氧层物质的制冷设备、制冷系统或者灭火系统的维修、报废处理等经营活动备案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《消耗臭氧层物质管理条例》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危险废物管理计划备案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《中华人民共和国固体废物污染环境防治法》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土壤污染重点监管单位拆除设施;设备或建筑物、构筑物土壤污染防治工作方案备案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《中华人民共和国土壤污染防治法》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建设用地土壤污染修复方案备案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《中华人民共和国土壤污染防治法》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土壤污染风险管控效果</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修复效果评估报告备案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《中华人民共和国土壤污染防治法》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土壤污染重点监管单位经营用地变更或收回</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转让土壤污染状况调查报告备案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《中华人民共和国土壤污染防治法》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污染源自动监控设施登记备案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污染源自动监控设施登记备案(首次)</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《污染源自动监控设施现场监督检查办法》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污染源自动监控设施登记备案(变更)</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《污染源自动监控设施现场监督检查办法》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三级、四级病原微生物实验室备案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《病原微生物实验室生物安全环境管理办法》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病原微生物实验室应急预案备案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病原微生物实验室环境污染应急预案备案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《病原微生物实验室生物安全环境管理办法》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病原微生物实验室危险废物意外事故防范措施应急预案备案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《病原微生物实验室生物安全环境管理办法》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病原微生物实验室监测计划备案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《病原微生物实验室生物安全环境管理办法》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畜禽养殖品种、规模以及畜禽养殖废弃物的产生、排放和综合利用等情况备案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生态环境</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《畜禽规模养殖污染防治条例》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建筑工地农民工业余学校备案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《关于深入推进建筑工地农民工业余学校工作的指导意见》（建人〔2012〕200号）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房屋建筑和市政基础设施工程竣工验收备案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《建设工程质量管理条例》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《房屋建筑和市政工程基础设施工程竣工验收备案管理办法》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建筑起重机械首次出租或首次安装前备案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《建筑起重机械安全监督管理规定》</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《陕西省建设工程质量和安全生产管理条例》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建设工程消防验收备案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《中华人民共和国消防法》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《建设工程消防设计审查验收管理暂行规定》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房屋交易备案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商品房现售备案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《商品房销售管理办法》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商品房买卖合同网签备案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《中华人民共和国城市房地产管理法》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《城市房地产开发经营管理条例《城市商品房预售管理办法》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《住房和城乡建设部关于进一步规范和加强房屋网签备案工作的指导意见》（建房〔2018〕128号）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《国务院办公厅关于促进房地产市场平稳健康发展的通知》（国办发〔2010〕4号）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存量房买卖合同网签备案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《住房和城乡建设部关于进一步规范和加强房屋网签备案工作的指导意见》（建房〔2018〕128号）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《国务院办公厅关于促进房地产市场平稳健康发展的通知》（国办发〔2010〕4号）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房屋租赁合同网签备案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《中华人民共和国城市房地产管理法》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《商品房屋租赁管理办法》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《住房和城乡建设部关于进一步规范和加强房屋网签备案工作的指导意见》（建房〔2018〕128号）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房屋抵押合同网签备案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pacing w:val="-20"/>
                <w:sz w:val="21"/>
                <w:szCs w:val="21"/>
                <w:lang w:bidi="ar"/>
              </w:rPr>
              <w:t>《</w:t>
            </w:r>
            <w:r>
              <w:rPr>
                <w:rFonts w:hint="eastAsia" w:ascii="方正书宋简体" w:hAnsi="方正书宋简体" w:eastAsia="方正书宋简体" w:cs="方正书宋简体"/>
                <w:sz w:val="21"/>
                <w:szCs w:val="21"/>
                <w:lang w:bidi="ar"/>
              </w:rPr>
              <w:t>住房和城乡建设部关于进一步规范和加强房屋网签备案工作的指导意见》（建房〔2018〕128号）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房地产开发企业、房地产经纪机构、住房租赁企业、银行业金融机构、交易当事人备案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《住房和城乡建设部关于印发房屋交易合同网签备案业务规范（试行）的通知》（建房规〔2019〕5号）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《房地产经纪管理办法》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物业服务合同备案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《陕西省物业服务管理条例》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物业承接查验备案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《陕西省物业服务管理条例》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业主委员会备案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pacing w:val="-23"/>
                <w:sz w:val="21"/>
                <w:szCs w:val="21"/>
                <w:lang w:bidi="ar"/>
              </w:rPr>
              <w:t>各街道办事处</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《物业管理条例》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《陕西省物业服务管理条例》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房产测绘成果备案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《住房和城乡建设部办公厅关于印发〈房屋交易与产权管理工作&gt;导则的通知》（建办房〔2015〕45号）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黏土实心砖生产企业转产新型墙体材料备案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《陕西省新型墙体材料发展应用条例》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工程施工招标文件备案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《房屋建筑和市政基础设施工程施工招标投标管理办法》</w:t>
            </w:r>
          </w:p>
          <w:p>
            <w:pPr>
              <w:keepNext w:val="0"/>
              <w:keepLines w:val="0"/>
              <w:pageBreakBefore w:val="0"/>
              <w:widowControl w:val="0"/>
              <w:kinsoku/>
              <w:wordWrap/>
              <w:overflowPunct/>
              <w:topLinePunct w:val="0"/>
              <w:autoSpaceDE/>
              <w:autoSpaceDN/>
              <w:bidi w:val="0"/>
              <w:adjustRightInd/>
              <w:snapToGrid/>
              <w:spacing w:line="320" w:lineRule="exact"/>
              <w:textAlignment w:val="auto"/>
              <w:rPr>
                <w:sz w:val="21"/>
                <w:szCs w:val="21"/>
              </w:rPr>
            </w:pPr>
            <w:r>
              <w:rPr>
                <w:rFonts w:hint="eastAsia" w:ascii="方正书宋简体" w:hAnsi="方正书宋简体" w:eastAsia="方正书宋简体" w:cs="方正书宋简体"/>
                <w:sz w:val="21"/>
                <w:szCs w:val="21"/>
                <w:lang w:val="en-US" w:eastAsia="zh-CN"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最高限价及其成果文件备案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《建筑工程施工发包与承包计价管理办法》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书面评标报告备案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《评标委员会和评标方法暂行规定》</w:t>
            </w:r>
          </w:p>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招标人自行办理施工招标事宜备案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《中华人民共和国招标投标法》</w:t>
            </w:r>
          </w:p>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《房屋建筑和市政基础设施工程施工招标投标管理办法》</w:t>
            </w:r>
          </w:p>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施工图审查情况备案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《房屋建筑和市政基础设施工程施工图设计文件审查管理办法》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小区前期物业企业招投标备案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《物业管理条例》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《建设部关于印发〈前期物业管理招标投标管理暂行办法〉的通知》（建住房〔2003〕130号）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建筑工程竣工结算文件备案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《建筑工程施工发包与承包计价管理办法》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区住建局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中标通知书备案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《陕西省房屋建筑和市政基础设施工程施工监理招标投标办法》（陕建发〔2015〕226号）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燃气工程竣工验收备案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《城镇燃气管理条例》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《陕西省燃气管理条例》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《西安市燃气管理条例》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食品摊贩登记备案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《陕西省食品小作坊小餐饮及摊贩管理条例》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建筑垃圾处理方案备案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《中华人民共和国固体废物污染环境防治法》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突发事件、生活垃圾污染防范应急方案备案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《西安市生活垃圾分类管理条例》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val="en-US" w:eastAsia="zh-CN" w:bidi="ar"/>
              </w:rPr>
              <w:t>区</w:t>
            </w:r>
            <w:r>
              <w:rPr>
                <w:rFonts w:hint="eastAsia" w:ascii="方正书宋简体" w:hAnsi="方正书宋简体" w:eastAsia="方正书宋简体" w:cs="方正书宋简体"/>
                <w:sz w:val="21"/>
                <w:szCs w:val="21"/>
                <w:lang w:bidi="ar"/>
              </w:rPr>
              <w:t>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户外广告设施竣工备案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《西安市户外广告设置管理条例》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建设工程配套的生活垃圾分类收集设施竣工备案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《西安市生活垃圾分类管理条例》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新建、改建城市环境卫生设施竣工备案</w:t>
            </w:r>
          </w:p>
        </w:tc>
        <w:tc>
          <w:tcPr>
            <w:tcW w:w="2948" w:type="dxa"/>
            <w:tcBorders>
              <w:tl2br w:val="nil"/>
              <w:tr2bl w:val="nil"/>
            </w:tcBorders>
            <w:shd w:val="clear" w:color="auto" w:fill="auto"/>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《西安市城市环境卫生设施建设管理办法》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非政府投资建设管理的公园管理单位备案</w:t>
            </w:r>
          </w:p>
        </w:tc>
        <w:tc>
          <w:tcPr>
            <w:tcW w:w="2948" w:type="dxa"/>
            <w:tcBorders>
              <w:tl2br w:val="nil"/>
              <w:tr2bl w:val="nil"/>
            </w:tcBorders>
            <w:shd w:val="clear" w:color="auto" w:fill="auto"/>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《西安市公园条例》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燃气突发事件应急处置预案备案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区城管局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《西安市燃气管理条例》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道路货物运输经营者设立分公司备案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《道路货物运输及站场管理规定》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4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道路货物运输经营者和货运站变更名称、地址等备案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《道路货物运输及站场管理规定》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在外省注册的货运经营者在本省境内从事货运经营活动一个月以上的备案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《陕西省道路运输管理条例》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道路货物运输站(场)经营备案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《中华人民共和国道路运输条例》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《道路货物运输及站场管理规定》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从事货运代理(代办)等货运相关服务备案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《道路货物运输及站场管理规定》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机动车维修经营备案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机动车维修经营备案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《中华人民共和国道路运输条例》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机动车维修注销备案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机动车维修连锁经营服务备案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机动车维修工时单价标准备案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《机动车维修管理规定》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机动车驾驶员培训经营备案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《中华人民共和国道路交通安全法》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《中华人民共和国道路运输条例》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《国务院关于深化"证照分离"改革进一步激发市场主体发展活力的通知》（国发〔2021〕7号）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《机动车驾驶员培训管理规定》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道路运输企业新建或者变更监控平台备案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《道路运输车辆动态监督管理办法》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《小微型客车租赁经营服务管理办法》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《小微型客车租赁经营服务管理办法》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小微型客车租赁注销备案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《小微型客车租赁经营服务管理办法》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小微型客车暂停或者终止分时租赁经营备案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区交通局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《小微型客车租赁经营服务管理办法》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区工信</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单用途商业预付卡备案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其他发卡企业备案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《单用途商业预付卡管理办法（试行）》</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区工信</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洗染业经营者备案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区工信</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《洗染业管理办法》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区工信</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零售商促销行为备案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区工信</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商务局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《零售商促销行为管理办法》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个体演员、个体演出经纪人备案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《营业性演出管理条例》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《营业性演出管理条例实施细则》</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剧本娱乐经营场所备案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《文化和旅游部公安部住房和城乡建设部应急管理部市场监管总局关于加强剧本娱乐经营场所管理的通知》（文旅市场发〔2022〕70号）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艺术品经营活动经营单位设立、变更、注销备案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《艺术品经营管理办法》</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sz w:val="21"/>
                <w:szCs w:val="21"/>
              </w:rPr>
            </w:pPr>
            <w:r>
              <w:rPr>
                <w:rFonts w:hint="eastAsia" w:ascii="方正书宋简体" w:hAnsi="方正书宋简体" w:eastAsia="方正书宋简体" w:cs="方正书宋简体"/>
                <w:kern w:val="2"/>
                <w:sz w:val="21"/>
                <w:szCs w:val="21"/>
                <w:lang w:val="en-US" w:eastAsia="zh-CN"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旅行社设立分社备案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《旅行社条例》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旅行社设立服务网点备案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《旅行社条例》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演出场所经营单位设立、变更备案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演出场所经营单位设立备案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《营业性演出管理条例》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演出场所经营单位变更备案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《营业性演出管理条例》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跨地区巡演备案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《文化和旅游部办公厅关于简化跨地区巡演审批程序的通知》（办市场发〔2021〕181号）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艺术考级机构委托承办单位承办艺术考级活动备案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《社会艺术水平考级管理办法》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艺术考级机构开展艺术考级活动备案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《社会艺术水平考级管理办法》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14"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color w:val="auto"/>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互联网上网服务营业场所变更或终止经营活动备案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r>
              <w:rPr>
                <w:rFonts w:hint="eastAsia" w:ascii="方正书宋简体" w:hAnsi="方正书宋简体" w:eastAsia="方正书宋简体" w:cs="方正书宋简体"/>
                <w:spacing w:val="-20"/>
                <w:sz w:val="21"/>
                <w:szCs w:val="21"/>
                <w:lang w:bidi="ar"/>
              </w:rPr>
              <w:t>公安新城分局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《互联网上网服务营业场所管理条例》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非国有不可移动文物转让、抵押或者改变用途的备案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《中华人民共和国文物保护法》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文物收藏单位藏品档案备案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《中华人民共和国文物保护法》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《中华人民共和国文物保护法实施条例》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《陕西省文物保护条例》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博物馆举办展览的备案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《博物馆条例》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可移动文物定级的备案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《中华人民共和国文物保护法》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《文物认定管理暂行办法》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基建考古工作实施前备案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《陕西省基本建设工程考古工作管理办法》（陕政办发〔2022〕34号）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国有文物收藏单位之间借用馆藏文物备案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区文旅体局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《中华人民共和国文物保护法》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《陕西省文物保护条例》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保管使用的菌(毒)种或样本备案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《人间传染的病原微生物菌（毒）种保藏机构管理办法》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托育机构备案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《中华人民共和国人口与计划生育法》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19"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诊所执业备案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《医疗机构管理条例》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《国家卫生健康委员会国家中医药管理局关于印发诊所备案管理暂行办法的通知》（国卫医政发〔2022〕33号）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养老机构内部设置诊所、卫生所(室)、医务室、护理站备案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《国家卫生计生委办公厅关于养老机构内部设置医疗机构取消行政审批实行备案管理的通知》（国卫办医发〔2017〕38号）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《国家卫生计生委关于深化“放管服”改革激发医疗领域投资活力的通知》（国卫法制发〔2017〕43号）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医疗美容项目备案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《医疗美容服务管理办法》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医疗机构歇业备案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《医疗机构管理条例》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限制类医疗技术备案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《医疗技术临床应用管理办法》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《陕西省医疗技术临床应用管理办法实施细则》（陕卫办医发〔2020〕24号）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义诊活动备案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《卫生部关于组织义诊活动实行备案管理的通知》（卫医发〔2001〕365号）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医师定期考核结果备案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《中华人民共和国医师法》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对调离、退休、退职被辞退、开除的医师进行备案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《医师执业注册管理办法》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医师多机构执业备案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《医师执业注册管理办法》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驻军编制内向社会开展诊疗活动的医疗机构备案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《陕西省医疗机构管理条例实施办法》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医疗美容主诊医师专业备案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《国家卫生计生委关于加强医疗美容主诊医师管理有关问题的通知》（国卫医发〔2017〕16号）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抗菌药物供应目录备案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《抗菌药物临床应用管理办法》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抗菌药物供应目录调整备案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《抗菌药物临床应用管理办法》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抗菌药物临时采购情况备案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《抗菌药物临床应用管理办法》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从事使用高毒物品作业的用人单位备案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从事使用高毒物品作业的用人单位变更备案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《使用有毒物品作业场所劳动保护条例》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使用有毒物品作业场所事故应急救援预案和演练记录备案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区卫健局；区应急管理局；公安新城分局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《使用有毒物品作业场所劳动保护条例》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医疗卫生机构设立伦理审查委员会备案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pacing w:val="-20"/>
                <w:sz w:val="21"/>
                <w:szCs w:val="21"/>
                <w:lang w:bidi="ar"/>
              </w:rPr>
              <w:t>《涉及人的生命科学和医学研究伦理审查办法》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医疗机构承担非免疫规划疫苗接种工作备案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《中华人民共和国疫苗管理法》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医疗机构开展健康体检项目目录备案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《健康体检管理暂行规定》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中医诊所备案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《中华人民共和国中医药法》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《中医诊所备案管理暂行办法》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冬病夏治穴位贴敷技术备案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区卫健局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《国家中医药管理局关于加强对冬病夏治穴位贴敷技术应用管理的通知》（国中医药医政发〔2016〕36号）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生产经营单位生产安全事故应急预案备案</w:t>
            </w:r>
          </w:p>
        </w:tc>
        <w:tc>
          <w:tcPr>
            <w:tcW w:w="2948"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《生产安全事故应急预案管理办法》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4772"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9"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4772"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重大危险源备案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《中华人民共和国安全生产法》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《危险化学品重大危险源监督管理暂行规定》</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《危险化学品安全管理条例》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经营非药品类易制毒化学品备案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经营第三类非药品类易制毒化学品备案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《易制毒化学品管理条例》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《非药品类易制毒化学品生产经营许可办法》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黑火药、引火线批发企业采购销售记录备案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《烟花爆竹经营许可实施办法》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生产、储存危险化学品企业安全评价报告以及整改方案的落实情况备案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《危险化学品安全管理条例》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生产、储存危险化学品的单位转产、停产、停业或者解散处置方案备案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区应急管理局；区工信商务局；生态环境新城分局；</w:t>
            </w:r>
            <w:r>
              <w:rPr>
                <w:rFonts w:hint="eastAsia" w:ascii="方正书宋简体" w:hAnsi="方正书宋简体" w:eastAsia="方正书宋简体" w:cs="方正书宋简体"/>
                <w:spacing w:val="-20"/>
                <w:sz w:val="21"/>
                <w:szCs w:val="21"/>
                <w:lang w:bidi="ar"/>
              </w:rPr>
              <w:t>公安新城分局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《危险化学品安全管理条例》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地震应急预案备案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区应急</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管理局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《中华人民共和国防震减灾法》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区市场</w:t>
            </w:r>
          </w:p>
          <w:p>
            <w:pPr>
              <w:spacing w:line="360" w:lineRule="exact"/>
              <w:jc w:val="center"/>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val="en-US" w:eastAsia="zh-CN" w:bidi="ar"/>
              </w:rPr>
              <w:t>监管局</w:t>
            </w:r>
          </w:p>
        </w:tc>
        <w:tc>
          <w:tcPr>
            <w:tcW w:w="2123"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bidi="ar"/>
              </w:rPr>
              <w:t>人工繁育有重要生态科学社会价值的陆生野生动物备案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kern w:val="2"/>
                <w:sz w:val="21"/>
                <w:szCs w:val="21"/>
                <w:lang w:val="en-US" w:eastAsia="zh-CN"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区行政</w:t>
            </w:r>
          </w:p>
          <w:p>
            <w:pPr>
              <w:spacing w:line="360" w:lineRule="exact"/>
              <w:jc w:val="center"/>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val="en-US" w:eastAsia="zh-CN" w:bidi="ar"/>
              </w:rPr>
              <w:t>审批局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kern w:val="2"/>
                <w:sz w:val="21"/>
                <w:szCs w:val="21"/>
                <w:lang w:val="en-US" w:eastAsia="zh-CN" w:bidi="ar"/>
              </w:rPr>
            </w:pPr>
            <w:r>
              <w:rPr>
                <w:rFonts w:hint="eastAsia" w:ascii="方正书宋简体" w:hAnsi="方正书宋简体" w:eastAsia="方正书宋简体" w:cs="方正书宋简体"/>
                <w:sz w:val="21"/>
                <w:szCs w:val="21"/>
                <w:lang w:bidi="ar"/>
              </w:rPr>
              <w:t>《中华人民共和国野生动物保护法》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区市场</w:t>
            </w:r>
          </w:p>
          <w:p>
            <w:pPr>
              <w:spacing w:line="360" w:lineRule="exact"/>
              <w:jc w:val="center"/>
              <w:textAlignment w:val="baseline"/>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sz w:val="21"/>
                <w:szCs w:val="21"/>
                <w:lang w:val="en-US" w:eastAsia="zh-CN" w:bidi="ar"/>
              </w:rPr>
              <w:t>监管局</w:t>
            </w:r>
          </w:p>
        </w:tc>
        <w:tc>
          <w:tcPr>
            <w:tcW w:w="21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sz w:val="21"/>
                <w:szCs w:val="21"/>
                <w:lang w:bidi="ar"/>
              </w:rPr>
              <w:t>生产、经营应施检疫的森林植物及其产品备</w:t>
            </w:r>
            <w:r>
              <w:rPr>
                <w:rFonts w:hint="eastAsia" w:ascii="方正书宋简体" w:hAnsi="方正书宋简体" w:eastAsia="方正书宋简体" w:cs="方正书宋简体"/>
                <w:color w:val="000000"/>
                <w:w w:val="90"/>
                <w:kern w:val="0"/>
                <w:sz w:val="21"/>
                <w:szCs w:val="21"/>
              </w:rPr>
              <w:t>案</w:t>
            </w:r>
          </w:p>
        </w:tc>
        <w:tc>
          <w:tcPr>
            <w:tcW w:w="294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ascii="方正书宋简体" w:hAnsi="方正书宋简体" w:eastAsia="方正书宋简体" w:cs="方正书宋简体"/>
                <w:color w:val="000000"/>
                <w:kern w:val="2"/>
                <w:sz w:val="21"/>
                <w:szCs w:val="21"/>
                <w:lang w:val="en-US" w:eastAsia="zh-CN" w:bidi="ar-SA"/>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val="en-US" w:eastAsia="zh-CN" w:bidi="ar"/>
              </w:rPr>
            </w:pPr>
            <w:r>
              <w:rPr>
                <w:rFonts w:hint="eastAsia" w:ascii="方正书宋简体" w:hAnsi="方正书宋简体" w:eastAsia="方正书宋简体" w:cs="方正书宋简体"/>
                <w:sz w:val="21"/>
                <w:szCs w:val="21"/>
                <w:lang w:val="en-US" w:eastAsia="zh-CN" w:bidi="ar"/>
              </w:rPr>
              <w:t>区行政</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sz w:val="21"/>
                <w:szCs w:val="21"/>
                <w:lang w:val="en-US" w:eastAsia="zh-CN" w:bidi="ar"/>
              </w:rPr>
              <w:t>审批局</w:t>
            </w:r>
          </w:p>
        </w:tc>
        <w:tc>
          <w:tcPr>
            <w:tcW w:w="47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方正书宋简体" w:hAnsi="方正书宋简体" w:eastAsia="方正书宋简体" w:cs="方正书宋简体"/>
                <w:color w:val="000000"/>
                <w:kern w:val="0"/>
                <w:sz w:val="21"/>
                <w:szCs w:val="21"/>
              </w:rPr>
            </w:pPr>
            <w:r>
              <w:rPr>
                <w:rFonts w:hint="eastAsia" w:ascii="方正书宋简体" w:hAnsi="方正书宋简体" w:eastAsia="方正书宋简体" w:cs="方正书宋简体"/>
                <w:color w:val="000000"/>
                <w:kern w:val="0"/>
                <w:sz w:val="21"/>
                <w:szCs w:val="21"/>
              </w:rPr>
              <w:t>《植物检疫条例实施细则》</w:t>
            </w:r>
          </w:p>
          <w:p>
            <w:pPr>
              <w:pStyle w:val="9"/>
              <w:keepNext w:val="0"/>
              <w:keepLines w:val="0"/>
              <w:pageBreakBefore w:val="0"/>
              <w:kinsoku/>
              <w:wordWrap/>
              <w:overflowPunct/>
              <w:topLinePunct w:val="0"/>
              <w:autoSpaceDE/>
              <w:autoSpaceDN/>
              <w:bidi w:val="0"/>
              <w:adjustRightInd/>
              <w:snapToGrid/>
              <w:spacing w:line="360" w:lineRule="exact"/>
              <w:ind w:firstLine="0" w:firstLineChars="0"/>
              <w:rPr>
                <w:rFonts w:hint="eastAsia" w:ascii="Times New Roman" w:hAnsi="Times New Roman" w:eastAsia="楷体_GB2312" w:cs="Times New Roman"/>
                <w:kern w:val="2"/>
                <w:sz w:val="21"/>
                <w:szCs w:val="21"/>
                <w:lang w:val="en-US" w:eastAsia="zh-CN" w:bidi="ar-SA"/>
              </w:rPr>
            </w:pPr>
            <w:r>
              <w:rPr>
                <w:rFonts w:hint="eastAsia" w:ascii="方正书宋简体" w:hAnsi="方正书宋简体" w:eastAsia="方正书宋简体" w:cs="方正书宋简体"/>
                <w:color w:val="000000"/>
                <w:kern w:val="0"/>
                <w:sz w:val="21"/>
                <w:szCs w:val="21"/>
              </w:rPr>
              <w:t>《陕西省林业有害生物防治检疫条例》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执业兽医备案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《中华人民共和国动物防疫法》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专门经营不再分装的包装农作物种子或者受具有农作物种子生产经营许可证的企业书面委托代销其种子的备案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专门经营不再分装的包装农作物种子备案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《农作物种子生产经营许可管理办法》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color w:val="auto"/>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受具有农作物种子生产经营许可证的企业书面委托代销其种子备案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《农作物种子生产经营许可管理办法》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1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区市场</w:t>
            </w:r>
          </w:p>
          <w:p>
            <w:pPr>
              <w:spacing w:line="36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林木种子经营者经营行为备案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林木种子生产经营许可证载明的有效区域设立分支机构的备案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w:t>
            </w:r>
          </w:p>
          <w:p>
            <w:pPr>
              <w:spacing w:line="36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《林木种子生产经营许可证管理办法》</w:t>
            </w:r>
          </w:p>
          <w:p>
            <w:pPr>
              <w:spacing w:line="36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《陕西省实施〈中华人民共和国种子法〉办法》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641" w:type="dxa"/>
            <w:vMerge w:val="continue"/>
            <w:tcBorders>
              <w:tl2br w:val="nil"/>
              <w:tr2bl w:val="nil"/>
            </w:tcBorders>
            <w:shd w:val="clear" w:color="auto" w:fill="auto"/>
            <w:vAlign w:val="center"/>
          </w:tcPr>
          <w:p>
            <w:pPr>
              <w:pStyle w:val="10"/>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color w:val="auto"/>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专门经营不再分装的包装林木种子的备案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w:t>
            </w:r>
          </w:p>
          <w:p>
            <w:pPr>
              <w:spacing w:line="36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《林木种子生产经营许可证管理办法》</w:t>
            </w:r>
          </w:p>
          <w:p>
            <w:pPr>
              <w:spacing w:line="36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《陕西省实施〈中华人民共和国种子法〉办法》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641" w:type="dxa"/>
            <w:vMerge w:val="continue"/>
            <w:tcBorders>
              <w:tl2br w:val="nil"/>
              <w:tr2bl w:val="nil"/>
            </w:tcBorders>
            <w:shd w:val="clear" w:color="auto" w:fill="auto"/>
            <w:vAlign w:val="center"/>
          </w:tcPr>
          <w:p>
            <w:pPr>
              <w:pStyle w:val="10"/>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color w:val="auto"/>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受具有林木种子生产经营许可证的种子生产经营者以书面委托生产</w:t>
            </w: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bidi="ar"/>
              </w:rPr>
              <w:t>代销其种子的备案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w:t>
            </w:r>
          </w:p>
          <w:p>
            <w:pPr>
              <w:spacing w:line="36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《林木种子生产经营许可证管理办法》</w:t>
            </w:r>
          </w:p>
          <w:p>
            <w:pPr>
              <w:spacing w:line="36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《陕西省实施〈中华人民共和国种子法〉办法》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受具有农作物种子生产经营许可证的企业书面委托生产其种子的备案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《农作物种子生产经营许可管理办法》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单位和个人仅从事食用菌菌种栽培种经营的备案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单位仅从事食用菌菌种栽培种经营的备案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《食用菌菌种管理办法》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color w:val="auto"/>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个人仅从事食用菌菌种栽培种经营的备案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《食用菌菌种管理办法》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农药经营者设立分支机构备案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《农药管理条例》</w:t>
            </w:r>
          </w:p>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《农药经营许可管理办法》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农药经营季度数据备案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《农药经营许可管理办法》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跨区作业中介服务组织备案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《联合收割机跨区作业管理办法》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跨区作业合同备案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《联合收割机跨区作业管理办法》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出售、购买、利用水生野生动物或其制品的单位和个人备案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color w:val="auto"/>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spacing w:line="36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《中华人民共和国水生野生动物利用特许办法》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公司备案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非公司企业法人备案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个人独资企业备案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合伙企业备案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outlineLvl w:val="9"/>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农民专业合作社(联合社)备案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分支机构备案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个体工商户备案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《市场主体登记管理条例实施细则》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歇业备案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《中华人民共和国市场主体登记管理条例》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仅销售预包装食品备案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《中华人民共和国食品安全法》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《陕西省仅销售预包装食品备案实施细则》（陕市监发〔2022〕59号）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《国务院关于深化“证照分离”改革进一步激发市场主体发展活力的通知》（国发〔2021〕7号）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强检计量器具备案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《中华人民共和国强制检定的工作计量器具检定管理办法》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销售国家和本省确定的重点管理计量器具备案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销售国家和本省确定的重点管理计量器具单位备案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《陕西省计量监督管理条例》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销售国家和本省确定的重点管理计量器具个人备案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《陕西省计量监督管理条例》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安装国家和本省确定的重点管理计量器具备案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安装国家和本省确定的重点管理计量器具单位备案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《陕西省计量监督管理条例》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安装国家和本省确定的重点管理计量器具个人备案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《陕西省计量监督管理条例》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网络食品交易平台备案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通过自建网站进行交易的食品经营者备案</w:t>
            </w: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《网络食品安全违法行为查处办法》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《网络餐饮服务食品安全监督管理办法》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《陕西省网络食品交易平台备案管理办法》（陕市监发〔2022〕298号）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《西安市市场监督管理局关于认真贯彻落实〈陕西省网络食品交易平台备案管理办法〉的通知》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大型游乐设施安全监督检验、定期检验报告备案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《大型游乐设施安全监察规定》</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《西安市人民政府关于委托一批行政许可事项的决定》（西安市人民政府令第150号）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非食品生产经营者从事对温度、湿度等有特殊要求的食品贮存业务备案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《中华人民共和国食品安全法实施条例》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《市场监管总局关于加强冷藏冷冻食品质量安全管理的公告》（2020年第10号）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市场主体报送年度报告</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《企业信息公示暂行条例》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《农民专业合作社年度报告公示暂行办法》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《个体工商户年度报告暂行办法》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第二类医疗器械经营备案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区行政</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审批局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《医疗器械经营监督管理办法》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《中共西安市新城区委办公室西安市新城区人民政府办公室关于印发&lt;西安市新城区开展相对集中行政许可权改革实施方案&gt;的通知》（新办字〔2019〕68号）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化妆品展销会信息报告备案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区市场</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监管局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《化妆品生产经营监督管理办法》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6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跨省临时外出就医人员备案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异地转诊就医人员备案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《国家医疗保障局财政部关于进一步做好基本医疗保险跨省异地就医直接结算工作的通知》（医保发〔2022〕22号）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《陕西省医疗保障局陕西省财政厅关于印发〈陕西省基本医疗保险异地就医直接结算制度改革实施方案〉的通知》（陕医保发〔2022〕36号）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1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因工作</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旅游等原因异地急诊抢救人员以及其他跨省临时外出就医人员备案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《国家医疗保障局财政部关于进一步做好基本医疗保险跨省异地就医直接结算工作的通知》（医保发〔2022〕22号）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《陕西省医疗保障局陕西省财政厅关于印发〈陕西省基本医疗保险异地就医直接结算制度改革实施方案&gt;的通知》（陕医保发〔2022〕36号）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跨省异地长期居住人员备案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异地安置退休人员备案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《国家医疗保障局财政部关于进一步做好基本医疗保险跨省异地就医直接结算工作的通知》（医保发〔2022〕22号）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《陕西省医疗保障局陕西省财政厅关于印发〈陕西省基本医疗保险异地就医直接结算制度改革实施方案&gt;的通知》（陕医保发〔2022〕36号）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《国家医疗保障局财政部关于进一步做好基本医疗保险跨省异地就医直接结算工作的通知》（医保发〔2022〕22号）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异地长期居住人员备案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《陕西省医疗保障局陕西省财政厅关于印发〈陕西省基本医疗保险异地就医直接结算制度改革实施方案〉的通知》（陕医保发（2022〕36号）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0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常驻异地工作人员备案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区医保局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《国家医疗保障局财政部关于进一步做好基本医疗保险跨省异地就医直接结算工作的通知》（医保发〔2022〕22号）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《陕西省医疗保障局陕西省财政厅关于印发《陕西省基本医疗保险异地就医直接结算制度改革实施方案&gt;的通知》（陕医保发〔2022〕36号）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省内融资担保公司在本省设立分支机构备案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vMerge w:val="restart"/>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restart"/>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2123" w:type="dxa"/>
            <w:vMerge w:val="restart"/>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省内融资担保公司变更事项备案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省内融资担保公司变更公司名称备案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《融资担保业务经营许可证管理办法》（银保监发〔2018〕1号）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省内融资担保公司变更业务范围备案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《融资担保业务经营许可证管理办法》（银保监发〔2018〕1号）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省内融资担保公司增加注册资本备案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《融资担保业务经营许可证管理办法》（银保监发〔2018〕1号）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省内融资担保公司变更持有5%以上股权的股东备案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省内融资担保公司变更董事</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监事</w:t>
            </w:r>
            <w:r>
              <w:rPr>
                <w:rFonts w:hint="eastAsia" w:ascii="方正书宋简体" w:hAnsi="方正书宋简体" w:eastAsia="方正书宋简体" w:cs="方正书宋简体"/>
                <w:sz w:val="21"/>
                <w:szCs w:val="21"/>
                <w:lang w:eastAsia="zh-CN" w:bidi="ar"/>
              </w:rPr>
              <w:t>、</w:t>
            </w:r>
            <w:r>
              <w:rPr>
                <w:rFonts w:hint="eastAsia" w:ascii="方正书宋简体" w:hAnsi="方正书宋简体" w:eastAsia="方正书宋简体" w:cs="方正书宋简体"/>
                <w:sz w:val="21"/>
                <w:szCs w:val="21"/>
                <w:lang w:bidi="ar"/>
              </w:rPr>
              <w:t>高级管理人员备案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《融资担保公司监督管理条例》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641" w:type="dxa"/>
            <w:vMerge w:val="continue"/>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vMerge w:val="continue"/>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p>
        </w:tc>
        <w:tc>
          <w:tcPr>
            <w:tcW w:w="2123" w:type="dxa"/>
            <w:vMerge w:val="continue"/>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省内融资担保公司变更营业地址备案</w:t>
            </w: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区金融办</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《融资担保业务经营许可证管理办法》（银保监发〔2018〕1号）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财务、会计制度或者财务、会计处理办法和会计核算软件备案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《中华人民共和国税收征收管理法》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《中华人民共和国税收征收管理法实施细则》</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《中华人民共和国发票管理办法》</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《国家税务总局关于进一步简化企业开办涉税事项办理程序压缩办理时间的通知》（税总发〔2019〕126号）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货物运输业小规模纳税人异地代开增值税专用发票备案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《货物运输业小规模纳税人申请代开增值税专用发票管理办法》（2017年第55号）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增值税即征即退备案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《国家税务总局关于进一步优化增值税优惠政策办理程序及服务有关事项的公告》（2021年第4号）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代储油业务备案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《成品油零售加油站增值税征收管理办法》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农产品增值税进项税额扣除标准备案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《农产品增值税进项税额核定扣除试点实施办法》（财税〔2012〕38号）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享受免征增值税优惠政策的国有粮食购销企业备案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hint="eastAsia"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区发改委</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《国家税务总局关于国有粮食购销企业销售粮食免征增值税审批事项取消后有关管理事项的公告》（2015年第42号）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出口退(免)税备案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《国家税务总局关于部分税务行政审批事项取消后有关管理问题的公告》（2015年第56号）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《国家税务总局关于发布〈融资租赁货物出口退税管理办法〉的公告》（2014年第56号）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外贸综合服务企业代办退税备案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《国家税务总局关于调整完善外贸综合服务企业办理出口货物退（免）税有关事项的公告》（2017年第35号）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出口货物劳务放弃退(免)税备案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《国家税务总局关于出口货物劳务增值税和消费税有关问题的公告》（2013年第65号）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出口货物劳务放弃免税权备案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《国家税务总局关于〈出口货物劳务增值税和消费税管理办法〉有关问题的公告》（2013年第12号）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放弃适用增值税零税率备案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《国家税务总局关于发布〈适用增值税零税率应税服务退（免）税管理办法〉的公告》（2014年第11号）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演出活动批准件和演出合同、报酬分配方案等备案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《演出市场个人所得税征收管理暂行办法》（国税发〔1995〕171号）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科技成果转化暂不征收个人所得税备案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《国家税务总局关于3项个人所得税事项取消审批实施后续管理的公告》（2016年第5号）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纳税人非货币性资产投资需要分期缴纳个人所得税备案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《国家税务总局关于个人非货币性资产投资有关个人所得税征管问题的公告》（2015年第20号）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纳税人分期缴税期间提出变更原分期缴税计划备案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《国家税务总局关于个人非货币性资产投资有关个人所得税征管问题的公告》（2015年第20号）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《国家税务总局关于股权奖励和转增股本个人所得税征管问题的公告》（2015年第80号）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获得股权奖励的企业技术人员、企业转增股本涉及的股东需要分期缴纳个人所得税备案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《国家税务总局关于股权奖励和转增股本个人所得税征管问题的公告》（2015年第80号）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中小高新技术企业以未分配利润、盈余公积、资本公积向个人股东转增股本时分期缴税计划备案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《财政部国家税务总局关于将国家自主创新示范区有关税收试点政策推广到全国范围实施的通知》（财税〔2015〕116号）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高新技术企业转化科技成果股权奖励分期缴纳备案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《财政部国家税务总局关于将国家自主创新示范区有关税收试点政策推广到全国范围实施的通知》（财税〔2015〕116号）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非上市公司实施符合条件的股权激励，个人选择递延纳税备案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《国家税务总局关于股权激励和技术入股所得税征管问题的公告》（2016年第62号）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上市公司实施股权激励，个人选择在不超过12个月期限内缴税备案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《国家税务总局关于股权激励和技术入股所得税征管问题的公告》（2016年第62号）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个人以技术成果投资入股境内公司并选择递延纳税备案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《国家税务总局关于股权激励和技术入股所得税征管问题的公告》（2016年第62号）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非营利性科研机构和高校向科技人员发放职务科技成果转化现金奖励备案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《国家税务总局关于科技人员取得职务科技成果转化现金奖励有关个人所得税征管问题的公告》（2018年第30号）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合伙创投企业个人合伙人投资抵扣备案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《国家税务总局关于创业投资企业和天使投资个人税收政策有关问题的公告》（2018年第43号）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天使投资个人投资抵扣备案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《国家税务总局关于创业投资企业和天使投资个人税收政策有关问题的公告》（2018年第43号）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天使投资个人投资初创科技型企业清算备案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《国家税务总局关于创业投资企业和天使投资个人税收政策有关问题的公告》（2018年第43号）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创投企业选择按单一投资基金核算方式备案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《财政部国家发展和改革委员会国家税务总局中国证监会关于创业投资企业个人合伙人所得税政策问题的通知》（财税〔2019〕8号）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服务贸易等项目对外支付税务备案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《国家税务总局国家外汇管理局关于服务贸易等项目对外支付税务备案有关问题的公告》（2013年第40号）</w:t>
            </w:r>
          </w:p>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《国家税务总局国家外汇管理局关于服务贸易等项目对外支付税务备案有关问题的补充公告》（2021年第19号）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非居民企业股权转让适用特殊性税务处理备案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《国家税务总局关于非居民企业股权转让适用特殊性税务处理有关问题的公告》（2013年第72号）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境内机构和个人发包工程作业或劳务项目备案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《非居民承包工程作业和提供劳务税收管理暂行办法》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境外投资者以分配利润直接投资暂不征收预提所得税政策备案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《财政部税务总局国家发展和改革委员会商务部关于扩大境外投资者以分配利润直接投资暂不征收预提所得税政策适用范围的通知》（财税〔2018〕102号）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外国企业常驻代表机构调整申报方式备案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《国家税务总局关于印发〈外国企业常驻代表机构税收管理暂行办法〉的通知》（国税发〔2010〕18号）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非居民企业派遣人员在中国境内提供劳务及接收企业办理税务登记和备案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《国家税务总局关于非居民企业派遣人员在中国境内提供劳务征收企业所得税有关问题的公告》（2013年第19号）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641" w:type="dxa"/>
            <w:tcBorders>
              <w:tl2br w:val="nil"/>
              <w:tr2bl w:val="nil"/>
            </w:tcBorders>
            <w:shd w:val="clear" w:color="auto" w:fill="auto"/>
            <w:vAlign w:val="center"/>
          </w:tcPr>
          <w:p>
            <w:pPr>
              <w:pStyle w:val="10"/>
              <w:numPr>
                <w:ilvl w:val="0"/>
                <w:numId w:val="1"/>
              </w:numPr>
              <w:spacing w:line="360" w:lineRule="exact"/>
              <w:ind w:firstLineChars="0"/>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2123"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非境内注册居民企业的财务会计制度等备案</w:t>
            </w:r>
          </w:p>
        </w:tc>
        <w:tc>
          <w:tcPr>
            <w:tcW w:w="2948"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p>
        </w:tc>
        <w:tc>
          <w:tcPr>
            <w:tcW w:w="1417" w:type="dxa"/>
            <w:tcBorders>
              <w:tl2br w:val="nil"/>
              <w:tr2bl w:val="nil"/>
            </w:tcBorders>
            <w:shd w:val="clear" w:color="auto" w:fill="auto"/>
            <w:vAlign w:val="center"/>
          </w:tcPr>
          <w:p>
            <w:pPr>
              <w:spacing w:line="360" w:lineRule="exact"/>
              <w:jc w:val="center"/>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区税务局</w:t>
            </w:r>
          </w:p>
        </w:tc>
        <w:tc>
          <w:tcPr>
            <w:tcW w:w="4772" w:type="dxa"/>
            <w:tcBorders>
              <w:tl2br w:val="nil"/>
              <w:tr2bl w:val="nil"/>
            </w:tcBorders>
            <w:shd w:val="clear" w:color="auto" w:fill="auto"/>
            <w:vAlign w:val="center"/>
          </w:tcPr>
          <w:p>
            <w:pPr>
              <w:spacing w:line="360" w:lineRule="exact"/>
              <w:textAlignment w:val="baseline"/>
              <w:rPr>
                <w:rFonts w:ascii="方正书宋简体" w:hAnsi="方正书宋简体" w:eastAsia="方正书宋简体" w:cs="方正书宋简体"/>
                <w:sz w:val="21"/>
                <w:szCs w:val="21"/>
                <w:lang w:bidi="ar"/>
              </w:rPr>
            </w:pPr>
            <w:r>
              <w:rPr>
                <w:rFonts w:hint="eastAsia" w:ascii="方正书宋简体" w:hAnsi="方正书宋简体" w:eastAsia="方正书宋简体" w:cs="方正书宋简体"/>
                <w:sz w:val="21"/>
                <w:szCs w:val="21"/>
                <w:lang w:bidi="ar"/>
              </w:rPr>
              <w:t>《国家税务总局关于印发〈境外注册中资控股居民企业所得税管理办法〉（试行）的公告》（2011年第45号）</w:t>
            </w:r>
          </w:p>
        </w:tc>
      </w:tr>
    </w:tbl>
    <w:p/>
    <w:p/>
    <w:p/>
    <w:p/>
    <w:p>
      <w:pPr>
        <w:sectPr>
          <w:footerReference r:id="rId3" w:type="default"/>
          <w:footerReference r:id="rId4" w:type="even"/>
          <w:pgSz w:w="16838" w:h="11906" w:orient="landscape"/>
          <w:pgMar w:top="2098" w:right="1474" w:bottom="1984" w:left="1588" w:header="851" w:footer="1400" w:gutter="0"/>
          <w:cols w:space="425" w:num="1"/>
          <w:docGrid w:type="lines" w:linePitch="312" w:charSpace="0"/>
        </w:sectPr>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tbl>
      <w:tblPr>
        <w:tblStyle w:val="7"/>
        <w:tblpPr w:vertAnchor="page" w:horzAnchor="page" w:tblpX="1713" w:tblpY="14197"/>
        <w:tblOverlap w:val="never"/>
        <w:tblW w:w="0" w:type="auto"/>
        <w:tblInd w:w="0" w:type="dxa"/>
        <w:tblBorders>
          <w:top w:val="single" w:color="000000" w:themeColor="text1" w:sz="8" w:space="0"/>
          <w:left w:val="none" w:color="auto" w:sz="0" w:space="0"/>
          <w:bottom w:val="single" w:color="000000" w:themeColor="text1"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00"/>
      </w:tblGrid>
      <w:tr>
        <w:tblPrEx>
          <w:tblCellMar>
            <w:top w:w="0" w:type="dxa"/>
            <w:left w:w="108" w:type="dxa"/>
            <w:bottom w:w="0" w:type="dxa"/>
            <w:right w:w="108" w:type="dxa"/>
          </w:tblCellMar>
        </w:tblPrEx>
        <w:trPr>
          <w:trHeight w:val="615" w:hRule="atLeast"/>
        </w:trPr>
        <w:tc>
          <w:tcPr>
            <w:tcW w:w="8800" w:type="dxa"/>
            <w:tcBorders>
              <w:tl2br w:val="nil"/>
              <w:tr2bl w:val="nil"/>
            </w:tcBorders>
          </w:tcPr>
          <w:p>
            <w:pPr>
              <w:adjustRightInd w:val="0"/>
              <w:snapToGrid w:val="0"/>
              <w:spacing w:line="620" w:lineRule="exact"/>
              <w:ind w:firstLine="280" w:firstLineChars="100"/>
              <w:rPr>
                <w:rFonts w:hint="eastAsia"/>
                <w:spacing w:val="-6"/>
                <w:sz w:val="28"/>
                <w:szCs w:val="28"/>
              </w:rPr>
            </w:pPr>
            <w:r>
              <w:rPr>
                <w:rFonts w:hint="eastAsia"/>
                <w:sz w:val="28"/>
                <w:szCs w:val="28"/>
                <w:lang w:val="en-US" w:eastAsia="zh-CN"/>
              </w:rPr>
              <w:t>西安市</w:t>
            </w:r>
            <w:r>
              <w:rPr>
                <w:rFonts w:hint="eastAsia"/>
                <w:sz w:val="28"/>
                <w:szCs w:val="28"/>
              </w:rPr>
              <w:t xml:space="preserve">新城区人民政府办公室     </w:t>
            </w:r>
            <w:r>
              <w:rPr>
                <w:rFonts w:hint="eastAsia"/>
                <w:sz w:val="28"/>
                <w:szCs w:val="28"/>
                <w:lang w:val="en-US" w:eastAsia="zh-CN"/>
              </w:rPr>
              <w:t xml:space="preserve">      </w:t>
            </w:r>
            <w:r>
              <w:rPr>
                <w:sz w:val="28"/>
                <w:szCs w:val="28"/>
              </w:rPr>
              <w:t xml:space="preserve"> </w:t>
            </w:r>
            <w:r>
              <w:rPr>
                <w:rFonts w:hint="eastAsia"/>
                <w:sz w:val="28"/>
                <w:szCs w:val="28"/>
              </w:rPr>
              <w:t xml:space="preserve"> 20</w:t>
            </w:r>
            <w:r>
              <w:rPr>
                <w:sz w:val="28"/>
                <w:szCs w:val="28"/>
              </w:rPr>
              <w:t>2</w:t>
            </w:r>
            <w:r>
              <w:rPr>
                <w:rFonts w:hint="eastAsia"/>
                <w:sz w:val="28"/>
                <w:szCs w:val="28"/>
                <w:lang w:val="en-US" w:eastAsia="zh-CN"/>
              </w:rPr>
              <w:t>4</w:t>
            </w:r>
            <w:r>
              <w:rPr>
                <w:rFonts w:hint="eastAsia"/>
                <w:spacing w:val="-6"/>
                <w:sz w:val="28"/>
                <w:szCs w:val="28"/>
              </w:rPr>
              <w:t>年</w:t>
            </w:r>
            <w:r>
              <w:rPr>
                <w:rFonts w:hint="eastAsia"/>
                <w:spacing w:val="-6"/>
                <w:sz w:val="28"/>
                <w:szCs w:val="28"/>
                <w:lang w:val="en-US" w:eastAsia="zh-CN"/>
              </w:rPr>
              <w:t>1</w:t>
            </w:r>
            <w:r>
              <w:rPr>
                <w:rFonts w:hint="eastAsia"/>
                <w:spacing w:val="-6"/>
                <w:sz w:val="28"/>
                <w:szCs w:val="28"/>
              </w:rPr>
              <w:t>月</w:t>
            </w:r>
            <w:r>
              <w:rPr>
                <w:rFonts w:hint="eastAsia"/>
                <w:spacing w:val="-6"/>
                <w:sz w:val="28"/>
                <w:szCs w:val="28"/>
                <w:lang w:val="en-US" w:eastAsia="zh-CN"/>
              </w:rPr>
              <w:t>24</w:t>
            </w:r>
            <w:r>
              <w:rPr>
                <w:rFonts w:hint="eastAsia"/>
                <w:spacing w:val="-6"/>
                <w:sz w:val="28"/>
                <w:szCs w:val="28"/>
              </w:rPr>
              <w:t>日印发</w:t>
            </w:r>
          </w:p>
        </w:tc>
      </w:tr>
    </w:tbl>
    <w:p>
      <w:pPr>
        <w:widowControl/>
        <w:jc w:val="left"/>
        <w:textAlignment w:val="baseline"/>
        <w:rPr>
          <w:rFonts w:ascii="仿宋_GB2312"/>
          <w:sz w:val="20"/>
        </w:rPr>
      </w:pPr>
    </w:p>
    <w:p>
      <w:pPr>
        <w:bidi w:val="0"/>
        <w:rPr>
          <w:rFonts w:ascii="Times New Roman" w:hAnsi="Times New Roman" w:eastAsia="仿宋" w:cs="Times New Roman"/>
          <w:kern w:val="2"/>
          <w:sz w:val="32"/>
          <w:szCs w:val="21"/>
          <w:lang w:val="en-US" w:eastAsia="zh-CN" w:bidi="ar-SA"/>
        </w:rPr>
      </w:pPr>
    </w:p>
    <w:p>
      <w:pPr>
        <w:bidi w:val="0"/>
        <w:rPr>
          <w:lang w:val="en-US" w:eastAsia="zh-CN"/>
        </w:rPr>
      </w:pPr>
    </w:p>
    <w:p>
      <w:pPr>
        <w:bidi w:val="0"/>
        <w:rPr>
          <w:lang w:val="en-US" w:eastAsia="zh-CN"/>
        </w:rPr>
      </w:pPr>
    </w:p>
    <w:p>
      <w:pPr>
        <w:tabs>
          <w:tab w:val="left" w:pos="5267"/>
        </w:tabs>
        <w:bidi w:val="0"/>
        <w:jc w:val="left"/>
        <w:rPr>
          <w:lang w:val="en-US" w:eastAsia="zh-CN"/>
        </w:rPr>
      </w:pPr>
      <w:r>
        <w:rPr>
          <w:rFonts w:hint="eastAsia"/>
          <w:lang w:val="en-US" w:eastAsia="zh-CN"/>
        </w:rPr>
        <w:tab/>
      </w:r>
    </w:p>
    <w:sectPr>
      <w:footerReference r:id="rId5" w:type="default"/>
      <w:footerReference r:id="rId6" w:type="even"/>
      <w:pgSz w:w="11906" w:h="16838"/>
      <w:pgMar w:top="2098" w:right="1474" w:bottom="1984" w:left="1587" w:header="851" w:footer="1400"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altName w:val="Arial Unicode MS"/>
    <w:panose1 w:val="03000509000000000000"/>
    <w:charset w:val="86"/>
    <w:family w:val="script"/>
    <w:pitch w:val="default"/>
    <w:sig w:usb0="00000000" w:usb1="00000000" w:usb2="00000000" w:usb3="00000000" w:csb0="00040000" w:csb1="00000000"/>
  </w:font>
  <w:font w:name="方正书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center"/>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rPr>
    </w:pPr>
    <w:r>
      <w:rPr>
        <w:rFonts w:hint="eastAsia" w:ascii="宋体" w:hAnsi="宋体"/>
        <w:sz w:val="28"/>
        <w:lang w:val="en-US" w:eastAsia="zh-CN"/>
      </w:rPr>
      <w:t xml:space="preserve">   </w:t>
    </w: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center"/>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320" w:rightChars="100"/>
                            <w:jc w:val="cente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ind w:right="320" w:rightChars="100"/>
                      <w:jc w:val="cente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宋体" w:hAnsi="宋体"/>
                              <w:sz w:val="28"/>
                              <w:lang w:val="en-US" w:eastAsia="zh-CN"/>
                            </w:rPr>
                            <w:t xml:space="preserve">   </w:t>
                          </w: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rFonts w:hint="eastAsia" w:ascii="宋体" w:hAnsi="宋体"/>
                        <w:sz w:val="28"/>
                        <w:lang w:val="en-US" w:eastAsia="zh-CN"/>
                      </w:rPr>
                      <w:t xml:space="preserve">   </w:t>
                    </w: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62FF5"/>
    <w:multiLevelType w:val="multilevel"/>
    <w:tmpl w:val="21E62FF5"/>
    <w:lvl w:ilvl="0" w:tentative="0">
      <w:start w:val="1"/>
      <w:numFmt w:val="decimal"/>
      <w:lvlText w:val="%1"/>
      <w:lvlJc w:val="left"/>
      <w:pPr>
        <w:ind w:left="454" w:hanging="341"/>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GQ5ZWE1YWYzYTFmMTcyZjVlZDc1Y2I5YzA5NjMifQ=="/>
  </w:docVars>
  <w:rsids>
    <w:rsidRoot w:val="181C438D"/>
    <w:rsid w:val="000C25C7"/>
    <w:rsid w:val="002A0958"/>
    <w:rsid w:val="003C295D"/>
    <w:rsid w:val="00440F19"/>
    <w:rsid w:val="004C4913"/>
    <w:rsid w:val="0079032D"/>
    <w:rsid w:val="009305A1"/>
    <w:rsid w:val="00A86DCE"/>
    <w:rsid w:val="00E01831"/>
    <w:rsid w:val="026B2CB8"/>
    <w:rsid w:val="053D735B"/>
    <w:rsid w:val="05767877"/>
    <w:rsid w:val="05A62A14"/>
    <w:rsid w:val="061E5EF9"/>
    <w:rsid w:val="07EB1711"/>
    <w:rsid w:val="08290D35"/>
    <w:rsid w:val="083F06AD"/>
    <w:rsid w:val="08F65714"/>
    <w:rsid w:val="093C3A39"/>
    <w:rsid w:val="0A3D2E1F"/>
    <w:rsid w:val="0C044AAE"/>
    <w:rsid w:val="0D180728"/>
    <w:rsid w:val="0D2B5B1A"/>
    <w:rsid w:val="0FD80032"/>
    <w:rsid w:val="10D35A15"/>
    <w:rsid w:val="125664E5"/>
    <w:rsid w:val="133132A3"/>
    <w:rsid w:val="14177E4D"/>
    <w:rsid w:val="14BF013E"/>
    <w:rsid w:val="15036FA6"/>
    <w:rsid w:val="17FD699F"/>
    <w:rsid w:val="181C438D"/>
    <w:rsid w:val="1B66660D"/>
    <w:rsid w:val="1C6828C4"/>
    <w:rsid w:val="1DA26770"/>
    <w:rsid w:val="1DF272EC"/>
    <w:rsid w:val="1E8F3592"/>
    <w:rsid w:val="201E2ADE"/>
    <w:rsid w:val="240370EB"/>
    <w:rsid w:val="27870742"/>
    <w:rsid w:val="2A6A0339"/>
    <w:rsid w:val="2B64270D"/>
    <w:rsid w:val="2F31787B"/>
    <w:rsid w:val="32556A5A"/>
    <w:rsid w:val="3266201B"/>
    <w:rsid w:val="34723CAB"/>
    <w:rsid w:val="364D22FB"/>
    <w:rsid w:val="37FC6F57"/>
    <w:rsid w:val="3BD3674C"/>
    <w:rsid w:val="3DFF5C34"/>
    <w:rsid w:val="3E1F44E1"/>
    <w:rsid w:val="3F5E3B92"/>
    <w:rsid w:val="40707C32"/>
    <w:rsid w:val="415832C3"/>
    <w:rsid w:val="453E5356"/>
    <w:rsid w:val="47021329"/>
    <w:rsid w:val="4779499C"/>
    <w:rsid w:val="47872695"/>
    <w:rsid w:val="49A84882"/>
    <w:rsid w:val="4B6F6E49"/>
    <w:rsid w:val="4C2533C5"/>
    <w:rsid w:val="4E7E3155"/>
    <w:rsid w:val="4F3B6275"/>
    <w:rsid w:val="4F492972"/>
    <w:rsid w:val="4FE1265E"/>
    <w:rsid w:val="52A1467D"/>
    <w:rsid w:val="55A94E0E"/>
    <w:rsid w:val="56B82861"/>
    <w:rsid w:val="57635BF5"/>
    <w:rsid w:val="581D3372"/>
    <w:rsid w:val="588B2C30"/>
    <w:rsid w:val="58C80362"/>
    <w:rsid w:val="59CA4C00"/>
    <w:rsid w:val="5A3279DC"/>
    <w:rsid w:val="5CDE3FB7"/>
    <w:rsid w:val="62650456"/>
    <w:rsid w:val="63190F1A"/>
    <w:rsid w:val="67F15CDF"/>
    <w:rsid w:val="6BEB69F8"/>
    <w:rsid w:val="73106A8C"/>
    <w:rsid w:val="731146DA"/>
    <w:rsid w:val="746D7E98"/>
    <w:rsid w:val="754D7A55"/>
    <w:rsid w:val="768B3E9B"/>
    <w:rsid w:val="773B5E73"/>
    <w:rsid w:val="78352BB9"/>
    <w:rsid w:val="79921577"/>
    <w:rsid w:val="7AE3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kern w:val="2"/>
      <w:sz w:val="32"/>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Calibri" w:hAnsi="Calibri" w:eastAsia="方正仿宋简体"/>
      <w:sz w:val="32"/>
      <w:szCs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Calibri" w:hAnsi="Calibri"/>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 Indent1"/>
    <w:basedOn w:val="1"/>
    <w:autoRedefine/>
    <w:qFormat/>
    <w:uiPriority w:val="99"/>
    <w:pPr>
      <w:ind w:firstLine="200" w:firstLineChars="200"/>
    </w:pPr>
    <w:rPr>
      <w:rFonts w:eastAsia="楷体_GB2312"/>
    </w:rPr>
  </w:style>
  <w:style w:type="paragraph" w:styleId="10">
    <w:name w:val="List Paragraph"/>
    <w:basedOn w:val="1"/>
    <w:autoRedefine/>
    <w:unhideWhenUsed/>
    <w:qFormat/>
    <w:uiPriority w:val="99"/>
    <w:pPr>
      <w:ind w:firstLine="420" w:firstLineChars="200"/>
    </w:pPr>
  </w:style>
  <w:style w:type="character" w:customStyle="1" w:styleId="11">
    <w:name w:val="页眉 字符"/>
    <w:basedOn w:val="8"/>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3330</Words>
  <Characters>18984</Characters>
  <Lines>158</Lines>
  <Paragraphs>44</Paragraphs>
  <TotalTime>0</TotalTime>
  <ScaleCrop>false</ScaleCrop>
  <LinksUpToDate>false</LinksUpToDate>
  <CharactersWithSpaces>22270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2024-01-03T03:11:00Z</dcterms:created>
  <dc:creator>美女</dc:creator>
  <cp:lastModifiedBy>美女</cp:lastModifiedBy>
  <cp:lastPrinted>2024-01-04T06:16:00Z</cp:lastPrinted>
  <dcterms:modified xsi:type="dcterms:W3CDTF">2024-01-25T05:42:18Z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A6C1A9F2CDF048C5ADDE4918AF74F7AF_13</vt:lpwstr>
  </property>
</Properties>
</file>